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C456" w14:textId="757D93BB" w:rsidR="00D92922" w:rsidRPr="00A61232" w:rsidRDefault="00825A6E" w:rsidP="00D92922">
      <w:pPr>
        <w:jc w:val="center"/>
        <w:rPr>
          <w:rFonts w:ascii="Arial" w:hAnsi="Arial" w:cs="Arial"/>
          <w:b/>
          <w:color w:val="000000" w:themeColor="text1"/>
        </w:rPr>
      </w:pPr>
      <w:r w:rsidRPr="00A61232">
        <w:rPr>
          <w:rFonts w:ascii="Arial" w:hAnsi="Arial" w:cs="Arial"/>
          <w:b/>
          <w:color w:val="000000" w:themeColor="text1"/>
        </w:rPr>
        <w:t>DİYANET İŞLERİ BAŞKANLIĞI</w:t>
      </w:r>
    </w:p>
    <w:p w14:paraId="607C0982" w14:textId="51122A94" w:rsidR="00D92922" w:rsidRPr="00A61232" w:rsidRDefault="00825A6E" w:rsidP="00D92922">
      <w:pPr>
        <w:jc w:val="center"/>
        <w:rPr>
          <w:rFonts w:ascii="Arial" w:hAnsi="Arial" w:cs="Arial"/>
          <w:b/>
          <w:color w:val="000000" w:themeColor="text1"/>
        </w:rPr>
      </w:pPr>
      <w:r w:rsidRPr="00A61232">
        <w:rPr>
          <w:rFonts w:ascii="Arial" w:hAnsi="Arial" w:cs="Arial"/>
          <w:b/>
          <w:color w:val="000000" w:themeColor="text1"/>
        </w:rPr>
        <w:t>2023 YILI GÖREVDE YÜKSELME</w:t>
      </w:r>
      <w:r w:rsidR="0055588D" w:rsidRPr="00A61232">
        <w:rPr>
          <w:rFonts w:ascii="Arial" w:hAnsi="Arial" w:cs="Arial"/>
          <w:b/>
          <w:color w:val="000000" w:themeColor="text1"/>
        </w:rPr>
        <w:t xml:space="preserve"> (ŞUBE MÜDÜRLÜĞÜ)</w:t>
      </w:r>
      <w:r w:rsidRPr="00A61232">
        <w:rPr>
          <w:rFonts w:ascii="Arial" w:hAnsi="Arial" w:cs="Arial"/>
          <w:b/>
          <w:color w:val="000000" w:themeColor="text1"/>
        </w:rPr>
        <w:t xml:space="preserve"> SINAVI</w:t>
      </w:r>
    </w:p>
    <w:p w14:paraId="5975D622" w14:textId="1F725CF7" w:rsidR="00D92922" w:rsidRPr="00A61232" w:rsidRDefault="00546A78" w:rsidP="0055588D">
      <w:pPr>
        <w:jc w:val="center"/>
        <w:rPr>
          <w:rFonts w:ascii="Arial" w:hAnsi="Arial" w:cs="Arial"/>
          <w:b/>
          <w:color w:val="000000" w:themeColor="text1"/>
        </w:rPr>
        <w:sectPr w:rsidR="00D92922" w:rsidRPr="00A61232" w:rsidSect="00630365">
          <w:headerReference w:type="default" r:id="rId8"/>
          <w:pgSz w:w="11906" w:h="16838"/>
          <w:pgMar w:top="2694" w:right="1417" w:bottom="1417" w:left="1417" w:header="708" w:footer="708" w:gutter="0"/>
          <w:cols w:space="708"/>
          <w:docGrid w:linePitch="360"/>
        </w:sectPr>
      </w:pPr>
      <w:r w:rsidRPr="00A61232">
        <w:rPr>
          <w:rFonts w:ascii="Arial" w:hAnsi="Arial" w:cs="Arial"/>
          <w:b/>
          <w:color w:val="000000" w:themeColor="text1"/>
        </w:rPr>
        <w:t xml:space="preserve">5- </w:t>
      </w:r>
      <w:r w:rsidR="00D87812" w:rsidRPr="00A61232">
        <w:rPr>
          <w:rFonts w:ascii="Arial" w:hAnsi="Arial" w:cs="Arial"/>
          <w:b/>
          <w:color w:val="000000" w:themeColor="text1"/>
        </w:rPr>
        <w:t>4982</w:t>
      </w:r>
      <w:r w:rsidR="00825A6E" w:rsidRPr="00A61232">
        <w:rPr>
          <w:rFonts w:ascii="Arial" w:hAnsi="Arial" w:cs="Arial"/>
          <w:b/>
          <w:color w:val="000000" w:themeColor="text1"/>
        </w:rPr>
        <w:t xml:space="preserve"> </w:t>
      </w:r>
      <w:r w:rsidR="00285DB0" w:rsidRPr="00A61232">
        <w:rPr>
          <w:rFonts w:ascii="Arial" w:hAnsi="Arial" w:cs="Arial"/>
          <w:b/>
          <w:color w:val="000000" w:themeColor="text1"/>
        </w:rPr>
        <w:t xml:space="preserve">Sayılı </w:t>
      </w:r>
      <w:r w:rsidR="00285DB0" w:rsidRPr="00A61232">
        <w:rPr>
          <w:rFonts w:ascii="Arial" w:hAnsi="Arial" w:cs="Arial"/>
          <w:b/>
          <w:color w:val="000000" w:themeColor="text1"/>
          <w14:ligatures w14:val="standardContextual"/>
        </w:rPr>
        <w:t xml:space="preserve">Bilgi Edinme Hakkı Kanunu </w:t>
      </w:r>
      <w:r w:rsidR="00285DB0" w:rsidRPr="00A61232">
        <w:rPr>
          <w:rFonts w:ascii="Arial" w:hAnsi="Arial" w:cs="Arial"/>
          <w:b/>
          <w:color w:val="000000" w:themeColor="text1"/>
        </w:rPr>
        <w:t>Örnek Soruları</w:t>
      </w:r>
      <w:r w:rsidR="0055588D" w:rsidRPr="00A61232">
        <w:rPr>
          <w:rStyle w:val="DipnotBavurusu"/>
          <w:rFonts w:ascii="Arial" w:hAnsi="Arial" w:cs="Arial"/>
          <w:b/>
          <w:color w:val="000000" w:themeColor="text1"/>
        </w:rPr>
        <w:footnoteReference w:id="1"/>
      </w:r>
    </w:p>
    <w:p w14:paraId="18A4C506" w14:textId="77777777" w:rsidR="00D92922" w:rsidRPr="00A61232" w:rsidRDefault="00D92922" w:rsidP="00D92922">
      <w:pPr>
        <w:jc w:val="both"/>
        <w:rPr>
          <w:rFonts w:ascii="Arial" w:hAnsi="Arial" w:cs="Arial"/>
          <w:color w:val="000000" w:themeColor="text1"/>
        </w:rPr>
      </w:pPr>
    </w:p>
    <w:p w14:paraId="04273586" w14:textId="77777777" w:rsidR="00D92922" w:rsidRPr="00A61232" w:rsidRDefault="00D92922" w:rsidP="00D92922">
      <w:pPr>
        <w:jc w:val="both"/>
        <w:rPr>
          <w:rFonts w:ascii="Arial" w:hAnsi="Arial" w:cs="Arial"/>
          <w:color w:val="000000" w:themeColor="text1"/>
        </w:rPr>
      </w:pPr>
    </w:p>
    <w:p w14:paraId="6F3D0DF3" w14:textId="77777777" w:rsidR="00D92922" w:rsidRPr="00A61232" w:rsidRDefault="00D92922" w:rsidP="00D92922">
      <w:pPr>
        <w:jc w:val="both"/>
        <w:rPr>
          <w:rFonts w:ascii="Arial" w:hAnsi="Arial" w:cs="Arial"/>
          <w:color w:val="000000" w:themeColor="text1"/>
        </w:rPr>
      </w:pPr>
    </w:p>
    <w:p w14:paraId="144D0CEE" w14:textId="77777777" w:rsidR="00D92922" w:rsidRPr="00A61232" w:rsidRDefault="00D92922" w:rsidP="00D92922">
      <w:pPr>
        <w:jc w:val="both"/>
        <w:rPr>
          <w:rFonts w:ascii="Arial" w:hAnsi="Arial" w:cs="Arial"/>
          <w:color w:val="000000" w:themeColor="text1"/>
        </w:rPr>
      </w:pPr>
    </w:p>
    <w:p w14:paraId="6AF5BE48" w14:textId="77777777" w:rsidR="00D92922" w:rsidRPr="00A61232" w:rsidRDefault="00D92922" w:rsidP="00D92922">
      <w:pPr>
        <w:jc w:val="both"/>
        <w:rPr>
          <w:rFonts w:ascii="Arial" w:hAnsi="Arial" w:cs="Arial"/>
          <w:color w:val="000000" w:themeColor="text1"/>
        </w:rPr>
        <w:sectPr w:rsidR="00D92922" w:rsidRPr="00A61232" w:rsidSect="00EF788F">
          <w:type w:val="continuous"/>
          <w:pgSz w:w="11906" w:h="16838"/>
          <w:pgMar w:top="2694" w:right="707" w:bottom="1417" w:left="1417" w:header="708" w:footer="708" w:gutter="0"/>
          <w:cols w:num="2" w:space="708"/>
          <w:docGrid w:linePitch="360"/>
        </w:sectPr>
      </w:pPr>
    </w:p>
    <w:p w14:paraId="5BB1B353" w14:textId="360FB8AC" w:rsidR="00D92922" w:rsidRPr="00A61232" w:rsidRDefault="002F1BEB" w:rsidP="00130C4F">
      <w:pPr>
        <w:pStyle w:val="ListeParagraf"/>
        <w:numPr>
          <w:ilvl w:val="0"/>
          <w:numId w:val="19"/>
        </w:num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b/>
          <w:bCs/>
          <w:color w:val="000000" w:themeColor="text1"/>
        </w:rPr>
        <w:t>4982 Sayılı Bilgi Edinme Hakkı Kanunu’</w:t>
      </w:r>
      <w:r w:rsidR="00C85EDE" w:rsidRPr="00A61232">
        <w:rPr>
          <w:rFonts w:ascii="Arial" w:hAnsi="Arial" w:cs="Arial"/>
          <w:b/>
          <w:bCs/>
          <w:color w:val="000000" w:themeColor="text1"/>
        </w:rPr>
        <w:t xml:space="preserve">nda esas alınan ilkeler arasında </w:t>
      </w:r>
      <w:r w:rsidR="00C85EDE" w:rsidRPr="00A61232">
        <w:rPr>
          <w:rFonts w:ascii="Arial" w:hAnsi="Arial" w:cs="Arial"/>
          <w:b/>
          <w:bCs/>
          <w:color w:val="000000" w:themeColor="text1"/>
          <w:u w:val="single"/>
        </w:rPr>
        <w:t>yer almaz</w:t>
      </w:r>
      <w:r w:rsidR="00C85EDE" w:rsidRPr="00A61232">
        <w:rPr>
          <w:rFonts w:ascii="Arial" w:hAnsi="Arial" w:cs="Arial"/>
          <w:b/>
          <w:bCs/>
          <w:color w:val="000000" w:themeColor="text1"/>
        </w:rPr>
        <w:t>?</w:t>
      </w:r>
    </w:p>
    <w:p w14:paraId="79AE46F5" w14:textId="7B0A7C32" w:rsidR="00D92922" w:rsidRPr="00A61232" w:rsidRDefault="00C85EDE" w:rsidP="00130C4F">
      <w:pPr>
        <w:pStyle w:val="ListeParagraf"/>
        <w:numPr>
          <w:ilvl w:val="0"/>
          <w:numId w:val="1"/>
        </w:numPr>
        <w:snapToGrid w:val="0"/>
        <w:spacing w:before="120" w:after="120" w:line="276" w:lineRule="auto"/>
        <w:ind w:hanging="11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 xml:space="preserve">Adalet </w:t>
      </w:r>
    </w:p>
    <w:p w14:paraId="41593FB4" w14:textId="2EEFF427" w:rsidR="002F1BEB" w:rsidRPr="00A61232" w:rsidRDefault="00C85EDE" w:rsidP="00130C4F">
      <w:pPr>
        <w:pStyle w:val="ListeParagraf"/>
        <w:numPr>
          <w:ilvl w:val="0"/>
          <w:numId w:val="1"/>
        </w:numPr>
        <w:snapToGrid w:val="0"/>
        <w:spacing w:before="120" w:after="120" w:line="276" w:lineRule="auto"/>
        <w:ind w:hanging="11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 xml:space="preserve">Eşitlik </w:t>
      </w:r>
    </w:p>
    <w:p w14:paraId="4D1AD672" w14:textId="6D0A1241" w:rsidR="00D92922" w:rsidRPr="00A61232" w:rsidRDefault="00C85EDE" w:rsidP="00130C4F">
      <w:pPr>
        <w:pStyle w:val="ListeParagraf"/>
        <w:numPr>
          <w:ilvl w:val="0"/>
          <w:numId w:val="1"/>
        </w:numPr>
        <w:snapToGrid w:val="0"/>
        <w:spacing w:before="120" w:after="120" w:line="276" w:lineRule="auto"/>
        <w:ind w:hanging="11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 xml:space="preserve">Tarafsızlık </w:t>
      </w:r>
    </w:p>
    <w:p w14:paraId="4D126835" w14:textId="79A1C470" w:rsidR="00D87812" w:rsidRPr="00A61232" w:rsidRDefault="00C85EDE" w:rsidP="00130C4F">
      <w:pPr>
        <w:pStyle w:val="ListeParagraf"/>
        <w:numPr>
          <w:ilvl w:val="0"/>
          <w:numId w:val="1"/>
        </w:numPr>
        <w:snapToGrid w:val="0"/>
        <w:spacing w:before="120" w:after="120" w:line="276" w:lineRule="auto"/>
        <w:ind w:hanging="11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 xml:space="preserve">Açıklık </w:t>
      </w:r>
    </w:p>
    <w:p w14:paraId="0481FB1C" w14:textId="77777777" w:rsidR="00BA22E6" w:rsidRPr="00A61232" w:rsidRDefault="00BA22E6" w:rsidP="00101F19">
      <w:pPr>
        <w:snapToGrid w:val="0"/>
        <w:spacing w:before="120" w:after="120"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0EF9E9A1" w14:textId="4B2AE017" w:rsidR="00D87812" w:rsidRPr="00A61232" w:rsidRDefault="002F1BEB" w:rsidP="00130C4F">
      <w:pPr>
        <w:pStyle w:val="ListeParagraf"/>
        <w:numPr>
          <w:ilvl w:val="0"/>
          <w:numId w:val="19"/>
        </w:num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b/>
          <w:bCs/>
          <w:color w:val="000000" w:themeColor="text1"/>
        </w:rPr>
        <w:t xml:space="preserve">4982 Sayılı Bilgi Edinme Hakkı Kanunu’na göre </w:t>
      </w:r>
      <w:r w:rsidR="005143D2" w:rsidRPr="00A61232">
        <w:rPr>
          <w:rFonts w:ascii="Arial" w:hAnsi="Arial" w:cs="Arial"/>
          <w:b/>
          <w:bCs/>
          <w:color w:val="000000" w:themeColor="text1"/>
        </w:rPr>
        <w:t xml:space="preserve">aşağıdaki ifadelerden hangisi </w:t>
      </w:r>
      <w:r w:rsidR="005143D2" w:rsidRPr="00A61232">
        <w:rPr>
          <w:rFonts w:ascii="Arial" w:hAnsi="Arial" w:cs="Arial"/>
          <w:b/>
          <w:bCs/>
          <w:color w:val="000000" w:themeColor="text1"/>
          <w:u w:val="single"/>
        </w:rPr>
        <w:t>yanlıştır</w:t>
      </w:r>
      <w:r w:rsidR="005143D2" w:rsidRPr="00A61232">
        <w:rPr>
          <w:rFonts w:ascii="Arial" w:hAnsi="Arial" w:cs="Arial"/>
          <w:b/>
          <w:bCs/>
          <w:color w:val="000000" w:themeColor="text1"/>
        </w:rPr>
        <w:t>?</w:t>
      </w:r>
    </w:p>
    <w:p w14:paraId="24847020" w14:textId="0A9F6DA3" w:rsidR="00D87812" w:rsidRPr="00A61232" w:rsidRDefault="005143D2" w:rsidP="00130C4F">
      <w:pPr>
        <w:pStyle w:val="ListeParagraf"/>
        <w:numPr>
          <w:ilvl w:val="0"/>
          <w:numId w:val="3"/>
        </w:numPr>
        <w:snapToGrid w:val="0"/>
        <w:spacing w:before="120" w:after="120" w:line="276" w:lineRule="auto"/>
        <w:ind w:left="1418" w:hanging="709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>Kurum ve kuruluşlar, başvuru sahibine istenen belgenin onaylı bir kopyasını verirler</w:t>
      </w:r>
      <w:r w:rsidR="00E14DB9" w:rsidRPr="00A61232">
        <w:rPr>
          <w:rFonts w:ascii="Arial" w:hAnsi="Arial" w:cs="Arial"/>
          <w:color w:val="000000" w:themeColor="text1"/>
        </w:rPr>
        <w:t>.</w:t>
      </w:r>
    </w:p>
    <w:p w14:paraId="07CE3CAB" w14:textId="213DBCB1" w:rsidR="00D87812" w:rsidRPr="00A61232" w:rsidRDefault="005143D2" w:rsidP="00130C4F">
      <w:pPr>
        <w:pStyle w:val="ListeParagraf"/>
        <w:numPr>
          <w:ilvl w:val="0"/>
          <w:numId w:val="3"/>
        </w:numPr>
        <w:snapToGrid w:val="0"/>
        <w:spacing w:before="120" w:after="120" w:line="276" w:lineRule="auto"/>
        <w:ind w:left="1418" w:hanging="709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 xml:space="preserve">Kurum ve kuruluşlar, başvuru üzerine istenen bilgi veya belgeye erişimi </w:t>
      </w:r>
      <w:proofErr w:type="spellStart"/>
      <w:r w:rsidRPr="00A61232">
        <w:rPr>
          <w:rFonts w:ascii="Arial" w:hAnsi="Arial" w:cs="Arial"/>
          <w:color w:val="000000" w:themeColor="text1"/>
        </w:rPr>
        <w:t>onbeş</w:t>
      </w:r>
      <w:proofErr w:type="spellEnd"/>
      <w:r w:rsidRPr="00A61232">
        <w:rPr>
          <w:rFonts w:ascii="Arial" w:hAnsi="Arial" w:cs="Arial"/>
          <w:color w:val="000000" w:themeColor="text1"/>
        </w:rPr>
        <w:t xml:space="preserve"> iş günü içinde sağlarlar</w:t>
      </w:r>
      <w:r w:rsidR="00E14DB9" w:rsidRPr="00A61232">
        <w:rPr>
          <w:rFonts w:ascii="Arial" w:hAnsi="Arial" w:cs="Arial"/>
          <w:color w:val="000000" w:themeColor="text1"/>
        </w:rPr>
        <w:t>.</w:t>
      </w:r>
    </w:p>
    <w:p w14:paraId="0DFA12B6" w14:textId="587C87CC" w:rsidR="00D87812" w:rsidRPr="00A61232" w:rsidRDefault="005143D2" w:rsidP="00130C4F">
      <w:pPr>
        <w:pStyle w:val="ListeParagraf"/>
        <w:numPr>
          <w:ilvl w:val="0"/>
          <w:numId w:val="3"/>
        </w:numPr>
        <w:snapToGrid w:val="0"/>
        <w:spacing w:before="120" w:after="120" w:line="276" w:lineRule="auto"/>
        <w:ind w:left="1418" w:hanging="709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>Kurulun sekretarya hizmetleri TBMM tarafından yerine getirilir</w:t>
      </w:r>
      <w:r w:rsidR="00E14DB9" w:rsidRPr="00A61232">
        <w:rPr>
          <w:rFonts w:ascii="Arial" w:hAnsi="Arial" w:cs="Arial"/>
          <w:color w:val="000000" w:themeColor="text1"/>
        </w:rPr>
        <w:t>.</w:t>
      </w:r>
    </w:p>
    <w:p w14:paraId="6CBD5C5A" w14:textId="722556EE" w:rsidR="00E14DB9" w:rsidRPr="00A61232" w:rsidRDefault="005143D2" w:rsidP="00101F19">
      <w:pPr>
        <w:pStyle w:val="ListeParagraf"/>
        <w:numPr>
          <w:ilvl w:val="0"/>
          <w:numId w:val="3"/>
        </w:numPr>
        <w:snapToGrid w:val="0"/>
        <w:spacing w:before="120" w:after="120" w:line="276" w:lineRule="auto"/>
        <w:ind w:left="1418" w:hanging="709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>Kamu yararının gerektirdiği hâllerde, kişisel bilgi veya belgeler, kurum ve kuruluşlar tarafından, ilgili kişiye en az yedi gün önceden haber verilerek yazılı rızası alınmak koşuluyla açıklanabilir.</w:t>
      </w:r>
    </w:p>
    <w:p w14:paraId="384E4358" w14:textId="423AB152" w:rsidR="002F1BEB" w:rsidRPr="00A61232" w:rsidRDefault="002F1BEB" w:rsidP="00130C4F">
      <w:pPr>
        <w:pStyle w:val="ListeParagraf"/>
        <w:numPr>
          <w:ilvl w:val="0"/>
          <w:numId w:val="19"/>
        </w:num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b/>
          <w:bCs/>
          <w:color w:val="000000" w:themeColor="text1"/>
        </w:rPr>
        <w:t xml:space="preserve">4982 Sayılı Bilgi Edinme Hakkı Kanunu’na göre </w:t>
      </w:r>
      <w:r w:rsidR="005143D2" w:rsidRPr="00A61232">
        <w:rPr>
          <w:rFonts w:ascii="Arial" w:hAnsi="Arial" w:cs="Arial"/>
          <w:b/>
          <w:bCs/>
          <w:color w:val="000000" w:themeColor="text1"/>
        </w:rPr>
        <w:t>bilgi edinme hakkının sınırlarına ilişkin verilen ifadelerden hangisi doğrudur?</w:t>
      </w:r>
    </w:p>
    <w:p w14:paraId="0BA8389E" w14:textId="3C07EA1E" w:rsidR="00D87812" w:rsidRPr="00A61232" w:rsidRDefault="00BA22E6" w:rsidP="00130C4F">
      <w:pPr>
        <w:pStyle w:val="ListeParagraf"/>
        <w:numPr>
          <w:ilvl w:val="0"/>
          <w:numId w:val="4"/>
        </w:numPr>
        <w:snapToGrid w:val="0"/>
        <w:spacing w:before="120" w:after="120" w:line="276" w:lineRule="auto"/>
        <w:ind w:left="1418" w:hanging="720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>Sivil ve askerî istihbarat birimlerinin görev ve faaliyetlerine ilişkin bilgi ve belgeler kişilerin çalışma hayatını ve meslek onurunu etkileyecek nitelikte ise bilgi edinme hakkı kapsamı içindedir.</w:t>
      </w:r>
    </w:p>
    <w:p w14:paraId="7C848CE4" w14:textId="2104FC48" w:rsidR="00D87812" w:rsidRPr="00A61232" w:rsidRDefault="00BA22E6" w:rsidP="00130C4F">
      <w:pPr>
        <w:pStyle w:val="ListeParagraf"/>
        <w:numPr>
          <w:ilvl w:val="0"/>
          <w:numId w:val="4"/>
        </w:numPr>
        <w:snapToGrid w:val="0"/>
        <w:spacing w:before="120" w:after="120" w:line="276" w:lineRule="auto"/>
        <w:ind w:left="1418" w:hanging="720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 xml:space="preserve">Tavsiye ve mütalaa talepleri bilgi edinme hakkı kapsamındadır. </w:t>
      </w:r>
    </w:p>
    <w:p w14:paraId="06FCC7B9" w14:textId="51786DF4" w:rsidR="002F1BEB" w:rsidRPr="00A61232" w:rsidRDefault="00BA22E6" w:rsidP="00130C4F">
      <w:pPr>
        <w:pStyle w:val="ListeParagraf"/>
        <w:numPr>
          <w:ilvl w:val="0"/>
          <w:numId w:val="4"/>
        </w:numPr>
        <w:snapToGrid w:val="0"/>
        <w:spacing w:before="120" w:after="120" w:line="276" w:lineRule="auto"/>
        <w:ind w:left="1418" w:hanging="720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>Açıklanması ya da zamanından önce açıklanması hâlinde, ülkenin ekonomik çıkarlarına zarar verecek bilgi ve belgeler kanun kapsamında dışında, haksız rekabet ve kazanca sebep olacak bilgi veya belgeler ise Kanun kapsamındadır.</w:t>
      </w:r>
    </w:p>
    <w:p w14:paraId="63E8AEE8" w14:textId="4D525DEF" w:rsidR="00BA22E6" w:rsidRPr="00A61232" w:rsidRDefault="00BA22E6" w:rsidP="00130C4F">
      <w:pPr>
        <w:pStyle w:val="ListeParagraf"/>
        <w:numPr>
          <w:ilvl w:val="0"/>
          <w:numId w:val="4"/>
        </w:numPr>
        <w:snapToGrid w:val="0"/>
        <w:spacing w:before="120" w:after="120" w:line="276" w:lineRule="auto"/>
        <w:ind w:left="1418" w:hanging="720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>Yargı denetimi dışında kalan idarî işlemlerden kişinin çalışma hayatını ve mesleki onurunu etkileyecek nitelikte olmayanlar, bu Kanun kapsamına dahildir</w:t>
      </w:r>
      <w:r w:rsidR="00E14DB9" w:rsidRPr="00A61232">
        <w:rPr>
          <w:rFonts w:ascii="Arial" w:hAnsi="Arial" w:cs="Arial"/>
          <w:color w:val="000000" w:themeColor="text1"/>
        </w:rPr>
        <w:t>.</w:t>
      </w:r>
    </w:p>
    <w:p w14:paraId="1B391FE2" w14:textId="77777777" w:rsidR="00E14DB9" w:rsidRPr="00A61232" w:rsidRDefault="00E14DB9" w:rsidP="00101F19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0471975E" w14:textId="77777777" w:rsidR="00E14DB9" w:rsidRPr="00A61232" w:rsidRDefault="00E14DB9" w:rsidP="00101F19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71AAF0EC" w14:textId="77777777" w:rsidR="00E14DB9" w:rsidRPr="00A61232" w:rsidRDefault="00E14DB9" w:rsidP="00101F19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5229FA78" w14:textId="77777777" w:rsidR="007A2509" w:rsidRPr="00A61232" w:rsidRDefault="007A2509" w:rsidP="00130C4F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3D81F52F" w14:textId="23D4AC12" w:rsidR="00D87812" w:rsidRPr="00A61232" w:rsidRDefault="00D87812" w:rsidP="00130C4F">
      <w:pPr>
        <w:pStyle w:val="ListeParagraf"/>
        <w:numPr>
          <w:ilvl w:val="0"/>
          <w:numId w:val="19"/>
        </w:num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b/>
          <w:bCs/>
          <w:color w:val="000000" w:themeColor="text1"/>
        </w:rPr>
        <w:t xml:space="preserve">4982 Sayılı </w:t>
      </w:r>
      <w:r w:rsidR="002F1BEB" w:rsidRPr="00A61232">
        <w:rPr>
          <w:rFonts w:ascii="Arial" w:hAnsi="Arial" w:cs="Arial"/>
          <w:b/>
          <w:bCs/>
          <w:color w:val="000000" w:themeColor="text1"/>
        </w:rPr>
        <w:t>Bilgi Edinme Hakkı Kanunu’</w:t>
      </w:r>
      <w:r w:rsidRPr="00A61232">
        <w:rPr>
          <w:rFonts w:ascii="Arial" w:hAnsi="Arial" w:cs="Arial"/>
          <w:b/>
          <w:bCs/>
          <w:color w:val="000000" w:themeColor="text1"/>
        </w:rPr>
        <w:t xml:space="preserve">na göre </w:t>
      </w:r>
      <w:r w:rsidR="00023637" w:rsidRPr="00A61232">
        <w:rPr>
          <w:rFonts w:ascii="Arial" w:hAnsi="Arial" w:cs="Arial"/>
          <w:b/>
          <w:bCs/>
          <w:color w:val="000000" w:themeColor="text1"/>
        </w:rPr>
        <w:t>aşağıdakilerden hangisi Kanun kapsamı</w:t>
      </w:r>
      <w:r w:rsidR="00361BB6" w:rsidRPr="00A61232">
        <w:rPr>
          <w:rFonts w:ascii="Arial" w:hAnsi="Arial" w:cs="Arial"/>
          <w:b/>
          <w:bCs/>
          <w:color w:val="000000" w:themeColor="text1"/>
        </w:rPr>
        <w:t>ndadır</w:t>
      </w:r>
      <w:r w:rsidR="00023637" w:rsidRPr="00A61232">
        <w:rPr>
          <w:rFonts w:ascii="Arial" w:hAnsi="Arial" w:cs="Arial"/>
          <w:b/>
          <w:bCs/>
          <w:color w:val="000000" w:themeColor="text1"/>
        </w:rPr>
        <w:t>?</w:t>
      </w:r>
    </w:p>
    <w:p w14:paraId="54D51895" w14:textId="21506D8D" w:rsidR="00361BB6" w:rsidRPr="00A61232" w:rsidRDefault="00361BB6" w:rsidP="00130C4F">
      <w:pPr>
        <w:pStyle w:val="ListeParagraf"/>
        <w:numPr>
          <w:ilvl w:val="0"/>
          <w:numId w:val="5"/>
        </w:numPr>
        <w:snapToGrid w:val="0"/>
        <w:spacing w:before="120" w:after="120" w:line="276" w:lineRule="auto"/>
        <w:ind w:left="993" w:hanging="295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>Açıklanması halinde kamu düzenini bozabilecek nitelikteki bilgi ve belgeler</w:t>
      </w:r>
    </w:p>
    <w:p w14:paraId="27127936" w14:textId="7A5DFB1E" w:rsidR="00361BB6" w:rsidRPr="00A61232" w:rsidRDefault="00361BB6" w:rsidP="00130C4F">
      <w:pPr>
        <w:pStyle w:val="ListeParagraf"/>
        <w:numPr>
          <w:ilvl w:val="0"/>
          <w:numId w:val="5"/>
        </w:numPr>
        <w:snapToGrid w:val="0"/>
        <w:spacing w:before="120" w:after="120" w:line="276" w:lineRule="auto"/>
        <w:ind w:left="993" w:hanging="295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 xml:space="preserve">Açıklanması halinde kişilerin özel hayat gizliliğine </w:t>
      </w:r>
      <w:r w:rsidR="00F64819" w:rsidRPr="00A61232">
        <w:rPr>
          <w:rFonts w:ascii="Arial" w:hAnsi="Arial" w:cs="Arial"/>
          <w:color w:val="000000" w:themeColor="text1"/>
        </w:rPr>
        <w:t>zarar verebilme ihtimali olan</w:t>
      </w:r>
      <w:r w:rsidRPr="00A61232">
        <w:rPr>
          <w:rFonts w:ascii="Arial" w:hAnsi="Arial" w:cs="Arial"/>
          <w:color w:val="000000" w:themeColor="text1"/>
        </w:rPr>
        <w:t xml:space="preserve"> bilgi ve belgeler</w:t>
      </w:r>
    </w:p>
    <w:p w14:paraId="6A0A17C2" w14:textId="0BE6C828" w:rsidR="00D87812" w:rsidRPr="00A61232" w:rsidRDefault="00361BB6" w:rsidP="00130C4F">
      <w:pPr>
        <w:pStyle w:val="ListeParagraf"/>
        <w:numPr>
          <w:ilvl w:val="0"/>
          <w:numId w:val="5"/>
        </w:numPr>
        <w:snapToGrid w:val="0"/>
        <w:spacing w:before="120" w:after="120" w:line="276" w:lineRule="auto"/>
        <w:ind w:left="993" w:hanging="295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 xml:space="preserve">Açıklanması halinde </w:t>
      </w:r>
      <w:r w:rsidR="00D456D7" w:rsidRPr="00A61232">
        <w:rPr>
          <w:rFonts w:ascii="Arial" w:hAnsi="Arial" w:cs="Arial"/>
          <w:color w:val="000000" w:themeColor="text1"/>
        </w:rPr>
        <w:t>k</w:t>
      </w:r>
      <w:r w:rsidRPr="00A61232">
        <w:rPr>
          <w:rFonts w:ascii="Arial" w:hAnsi="Arial" w:cs="Arial"/>
          <w:color w:val="000000" w:themeColor="text1"/>
        </w:rPr>
        <w:t>işilerin özel hayatına açıkça haksız müdahale sonucunu doğuracak bilgi ve belgeler</w:t>
      </w:r>
    </w:p>
    <w:p w14:paraId="15C6209A" w14:textId="232C9DA6" w:rsidR="00D87812" w:rsidRPr="00A61232" w:rsidRDefault="00361BB6" w:rsidP="00130C4F">
      <w:pPr>
        <w:pStyle w:val="ListeParagraf"/>
        <w:numPr>
          <w:ilvl w:val="0"/>
          <w:numId w:val="5"/>
        </w:numPr>
        <w:snapToGrid w:val="0"/>
        <w:spacing w:before="120" w:after="120" w:line="276" w:lineRule="auto"/>
        <w:ind w:left="993" w:hanging="295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 xml:space="preserve">Açıklanması halinde </w:t>
      </w:r>
      <w:r w:rsidR="00F64819" w:rsidRPr="00A61232">
        <w:rPr>
          <w:rFonts w:ascii="Arial" w:hAnsi="Arial" w:cs="Arial"/>
          <w:color w:val="000000" w:themeColor="text1"/>
        </w:rPr>
        <w:t>kişilerin özel hayat gizliliğini ihlal etme şüphesi bulunan bilgi ve belgeler</w:t>
      </w:r>
    </w:p>
    <w:p w14:paraId="29A4ED97" w14:textId="77777777" w:rsidR="00BA22E6" w:rsidRPr="00A61232" w:rsidRDefault="00BA22E6" w:rsidP="00101F19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5996A9ED" w14:textId="3E513C5D" w:rsidR="00D87812" w:rsidRPr="00A61232" w:rsidRDefault="00D87812" w:rsidP="00130C4F">
      <w:pPr>
        <w:pStyle w:val="ListeParagraf"/>
        <w:numPr>
          <w:ilvl w:val="0"/>
          <w:numId w:val="19"/>
        </w:num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b/>
          <w:bCs/>
          <w:color w:val="000000" w:themeColor="text1"/>
        </w:rPr>
        <w:t xml:space="preserve">4982 Sayılı </w:t>
      </w:r>
      <w:r w:rsidR="002F1BEB" w:rsidRPr="00A61232">
        <w:rPr>
          <w:rFonts w:ascii="Arial" w:hAnsi="Arial" w:cs="Arial"/>
          <w:b/>
          <w:bCs/>
          <w:color w:val="000000" w:themeColor="text1"/>
        </w:rPr>
        <w:t>Bilgi Edinme Hakkı Kanunu’</w:t>
      </w:r>
      <w:r w:rsidRPr="00A61232">
        <w:rPr>
          <w:rFonts w:ascii="Arial" w:hAnsi="Arial" w:cs="Arial"/>
          <w:b/>
          <w:bCs/>
          <w:color w:val="000000" w:themeColor="text1"/>
        </w:rPr>
        <w:t xml:space="preserve">na göre </w:t>
      </w:r>
      <w:r w:rsidR="00F64819" w:rsidRPr="00A61232">
        <w:rPr>
          <w:rFonts w:ascii="Arial" w:hAnsi="Arial" w:cs="Arial"/>
          <w:b/>
          <w:bCs/>
          <w:color w:val="000000" w:themeColor="text1"/>
        </w:rPr>
        <w:t xml:space="preserve">aşağıdakilerden hangisi </w:t>
      </w:r>
      <w:r w:rsidR="00F64819" w:rsidRPr="00A61232">
        <w:rPr>
          <w:rFonts w:ascii="Arial" w:hAnsi="Arial" w:cs="Arial"/>
          <w:b/>
          <w:bCs/>
          <w:color w:val="000000" w:themeColor="text1"/>
          <w:u w:val="single"/>
        </w:rPr>
        <w:t>yanlış</w:t>
      </w:r>
      <w:r w:rsidR="00F64819" w:rsidRPr="00A61232">
        <w:rPr>
          <w:rFonts w:ascii="Arial" w:hAnsi="Arial" w:cs="Arial"/>
          <w:b/>
          <w:bCs/>
          <w:color w:val="000000" w:themeColor="text1"/>
        </w:rPr>
        <w:t xml:space="preserve"> bir ifadedir?</w:t>
      </w:r>
    </w:p>
    <w:p w14:paraId="0401C4E4" w14:textId="3E7B5A04" w:rsidR="00D87812" w:rsidRPr="00A61232" w:rsidRDefault="00F64819" w:rsidP="00130C4F">
      <w:pPr>
        <w:pStyle w:val="ListeParagraf"/>
        <w:numPr>
          <w:ilvl w:val="0"/>
          <w:numId w:val="6"/>
        </w:numPr>
        <w:snapToGrid w:val="0"/>
        <w:spacing w:before="120" w:after="120" w:line="276" w:lineRule="auto"/>
        <w:ind w:left="993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>Kanuna göre bilgi, Kurum ve kuruluşların sahip oldukları kayıtlarda yer alan bu Kanun kapsamındaki her türlü veriyi ihtiva eder.</w:t>
      </w:r>
    </w:p>
    <w:p w14:paraId="52EAFF7F" w14:textId="4CE0BC36" w:rsidR="00D87812" w:rsidRPr="00A61232" w:rsidRDefault="00F64819" w:rsidP="00130C4F">
      <w:pPr>
        <w:pStyle w:val="ListeParagraf"/>
        <w:numPr>
          <w:ilvl w:val="0"/>
          <w:numId w:val="6"/>
        </w:numPr>
        <w:snapToGrid w:val="0"/>
        <w:spacing w:before="120" w:after="120" w:line="276" w:lineRule="auto"/>
        <w:ind w:left="993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>Bilgi edinme başvurusu, başvuru sahibinin adı ve soyadı, imzası, oturma yeri veya iş adresini içeren dilekçe ile istenen bilgi veya belgenin bulunduğu kurum veya kuruluşa yapılır.</w:t>
      </w:r>
    </w:p>
    <w:p w14:paraId="1C588C79" w14:textId="59D0EDBD" w:rsidR="00D87812" w:rsidRPr="00A61232" w:rsidRDefault="00F64819" w:rsidP="00130C4F">
      <w:pPr>
        <w:pStyle w:val="ListeParagraf"/>
        <w:numPr>
          <w:ilvl w:val="0"/>
          <w:numId w:val="6"/>
        </w:numPr>
        <w:snapToGrid w:val="0"/>
        <w:spacing w:before="120" w:after="120" w:line="276" w:lineRule="auto"/>
        <w:ind w:left="993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>Dilekçede, istenen bilgi veya belgeler açıkça belirtilmelidir.</w:t>
      </w:r>
    </w:p>
    <w:p w14:paraId="2A443E11" w14:textId="7A6915D6" w:rsidR="00BA22E6" w:rsidRPr="00A61232" w:rsidRDefault="00F64819" w:rsidP="00130C4F">
      <w:pPr>
        <w:pStyle w:val="ListeParagraf"/>
        <w:numPr>
          <w:ilvl w:val="0"/>
          <w:numId w:val="6"/>
        </w:numPr>
        <w:snapToGrid w:val="0"/>
        <w:spacing w:before="120" w:after="120" w:line="276" w:lineRule="auto"/>
        <w:ind w:left="993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 xml:space="preserve">Kanun, kamu kurum ve </w:t>
      </w:r>
      <w:proofErr w:type="spellStart"/>
      <w:proofErr w:type="gramStart"/>
      <w:r w:rsidRPr="00A61232">
        <w:rPr>
          <w:rFonts w:ascii="Arial" w:hAnsi="Arial" w:cs="Arial"/>
          <w:color w:val="000000" w:themeColor="text1"/>
        </w:rPr>
        <w:t>kuruluşları,kamu</w:t>
      </w:r>
      <w:proofErr w:type="spellEnd"/>
      <w:proofErr w:type="gramEnd"/>
      <w:r w:rsidRPr="00A61232">
        <w:rPr>
          <w:rFonts w:ascii="Arial" w:hAnsi="Arial" w:cs="Arial"/>
          <w:color w:val="000000" w:themeColor="text1"/>
        </w:rPr>
        <w:t xml:space="preserve"> kurumu niteliğindeki meslek kuruluşları ve özel kuruluşların faaliyetlerinde uygulanır.</w:t>
      </w:r>
    </w:p>
    <w:p w14:paraId="2C77A1CA" w14:textId="77777777" w:rsidR="00F64819" w:rsidRPr="00A61232" w:rsidRDefault="00F64819" w:rsidP="00101F19">
      <w:pPr>
        <w:pStyle w:val="ListeParagraf"/>
        <w:snapToGrid w:val="0"/>
        <w:spacing w:before="120" w:after="12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</w:p>
    <w:p w14:paraId="77F69177" w14:textId="77777777" w:rsidR="006D0487" w:rsidRPr="00A61232" w:rsidRDefault="006D0487" w:rsidP="00101F19">
      <w:pPr>
        <w:pStyle w:val="ListeParagraf"/>
        <w:snapToGrid w:val="0"/>
        <w:spacing w:before="120" w:after="12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</w:p>
    <w:p w14:paraId="7AD8BAD8" w14:textId="69C5E84B" w:rsidR="006D0487" w:rsidRPr="00A61232" w:rsidRDefault="006D0487" w:rsidP="00101F19">
      <w:pPr>
        <w:pStyle w:val="ListeParagraf"/>
        <w:snapToGrid w:val="0"/>
        <w:spacing w:before="120" w:after="12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</w:p>
    <w:p w14:paraId="40D4CB18" w14:textId="102134C3" w:rsidR="00D87812" w:rsidRPr="00A61232" w:rsidRDefault="00D87812" w:rsidP="00130C4F">
      <w:pPr>
        <w:pStyle w:val="ListeParagraf"/>
        <w:numPr>
          <w:ilvl w:val="0"/>
          <w:numId w:val="19"/>
        </w:num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b/>
          <w:bCs/>
          <w:color w:val="000000" w:themeColor="text1"/>
        </w:rPr>
        <w:t xml:space="preserve">4982 Sayılı </w:t>
      </w:r>
      <w:r w:rsidR="002F1BEB" w:rsidRPr="00A61232">
        <w:rPr>
          <w:rFonts w:ascii="Arial" w:hAnsi="Arial" w:cs="Arial"/>
          <w:b/>
          <w:bCs/>
          <w:color w:val="000000" w:themeColor="text1"/>
        </w:rPr>
        <w:t>Bilgi Edinme Hakkı Kanunu’</w:t>
      </w:r>
      <w:r w:rsidR="00C85EDE" w:rsidRPr="00A61232">
        <w:rPr>
          <w:rFonts w:ascii="Arial" w:hAnsi="Arial" w:cs="Arial"/>
          <w:b/>
          <w:bCs/>
          <w:color w:val="000000" w:themeColor="text1"/>
        </w:rPr>
        <w:t>nda</w:t>
      </w:r>
      <w:r w:rsidRPr="00A61232">
        <w:rPr>
          <w:rFonts w:ascii="Arial" w:hAnsi="Arial" w:cs="Arial"/>
          <w:b/>
          <w:bCs/>
          <w:color w:val="000000" w:themeColor="text1"/>
        </w:rPr>
        <w:t xml:space="preserve"> </w:t>
      </w:r>
      <w:r w:rsidR="00C85EDE" w:rsidRPr="00A61232">
        <w:rPr>
          <w:rFonts w:ascii="Arial" w:hAnsi="Arial" w:cs="Arial"/>
          <w:b/>
          <w:bCs/>
          <w:color w:val="000000" w:themeColor="text1"/>
        </w:rPr>
        <w:t>esas alınan ilkelerdendir?</w:t>
      </w:r>
      <w:r w:rsidRPr="00A61232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3E80341B" w14:textId="737046F1" w:rsidR="00D87812" w:rsidRPr="00A61232" w:rsidRDefault="00C85EDE" w:rsidP="00130C4F">
      <w:pPr>
        <w:pStyle w:val="ListeParagraf"/>
        <w:numPr>
          <w:ilvl w:val="0"/>
          <w:numId w:val="7"/>
        </w:numPr>
        <w:snapToGrid w:val="0"/>
        <w:spacing w:before="120" w:after="120" w:line="276" w:lineRule="auto"/>
        <w:ind w:hanging="11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>Şeffaflık ve tarafsızlık</w:t>
      </w:r>
    </w:p>
    <w:p w14:paraId="575BC839" w14:textId="091A6200" w:rsidR="00D87812" w:rsidRPr="00A61232" w:rsidRDefault="00C85EDE" w:rsidP="00130C4F">
      <w:pPr>
        <w:pStyle w:val="ListeParagraf"/>
        <w:numPr>
          <w:ilvl w:val="0"/>
          <w:numId w:val="7"/>
        </w:numPr>
        <w:snapToGrid w:val="0"/>
        <w:spacing w:before="120" w:after="120" w:line="276" w:lineRule="auto"/>
        <w:ind w:hanging="11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>Açıklık ve eşitlik</w:t>
      </w:r>
    </w:p>
    <w:p w14:paraId="771D196E" w14:textId="45D62AC2" w:rsidR="00D87812" w:rsidRPr="00A61232" w:rsidRDefault="00C85EDE" w:rsidP="00130C4F">
      <w:pPr>
        <w:pStyle w:val="ListeParagraf"/>
        <w:numPr>
          <w:ilvl w:val="0"/>
          <w:numId w:val="7"/>
        </w:numPr>
        <w:snapToGrid w:val="0"/>
        <w:spacing w:before="120" w:after="120" w:line="276" w:lineRule="auto"/>
        <w:ind w:hanging="11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>Tarafsızlık ve bağımsızlık</w:t>
      </w:r>
    </w:p>
    <w:p w14:paraId="04433628" w14:textId="45999BD9" w:rsidR="00BA22E6" w:rsidRPr="00A61232" w:rsidRDefault="00C85EDE" w:rsidP="00101F19">
      <w:pPr>
        <w:pStyle w:val="ListeParagraf"/>
        <w:numPr>
          <w:ilvl w:val="0"/>
          <w:numId w:val="7"/>
        </w:numPr>
        <w:snapToGrid w:val="0"/>
        <w:spacing w:before="120" w:after="120" w:line="276" w:lineRule="auto"/>
        <w:ind w:hanging="11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 xml:space="preserve">Eşitlik ve adalet </w:t>
      </w:r>
    </w:p>
    <w:p w14:paraId="30FCAC8C" w14:textId="77777777" w:rsidR="00EF788F" w:rsidRPr="00A61232" w:rsidRDefault="00EF788F" w:rsidP="00EF788F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36F2B6BF" w14:textId="73F281D1" w:rsidR="00D87812" w:rsidRPr="00A61232" w:rsidRDefault="00D87812" w:rsidP="00130C4F">
      <w:pPr>
        <w:pStyle w:val="ListeParagraf"/>
        <w:numPr>
          <w:ilvl w:val="0"/>
          <w:numId w:val="19"/>
        </w:num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b/>
          <w:bCs/>
          <w:color w:val="000000" w:themeColor="text1"/>
        </w:rPr>
        <w:t xml:space="preserve">4982 Sayılı </w:t>
      </w:r>
      <w:r w:rsidR="002F1BEB" w:rsidRPr="00A61232">
        <w:rPr>
          <w:rFonts w:ascii="Arial" w:hAnsi="Arial" w:cs="Arial"/>
          <w:b/>
          <w:bCs/>
          <w:color w:val="000000" w:themeColor="text1"/>
        </w:rPr>
        <w:t>Bilgi Edinme Hakkı Kanunu’</w:t>
      </w:r>
      <w:r w:rsidRPr="00A61232">
        <w:rPr>
          <w:rFonts w:ascii="Arial" w:hAnsi="Arial" w:cs="Arial"/>
          <w:b/>
          <w:bCs/>
          <w:color w:val="000000" w:themeColor="text1"/>
        </w:rPr>
        <w:t xml:space="preserve">na göre </w:t>
      </w:r>
      <w:r w:rsidR="00C85EDE" w:rsidRPr="00A61232">
        <w:rPr>
          <w:rFonts w:ascii="Arial" w:hAnsi="Arial" w:cs="Arial"/>
          <w:b/>
          <w:bCs/>
          <w:color w:val="000000" w:themeColor="text1"/>
        </w:rPr>
        <w:t xml:space="preserve">hangisi </w:t>
      </w:r>
      <w:r w:rsidR="00C85EDE" w:rsidRPr="00A61232">
        <w:rPr>
          <w:rFonts w:ascii="Arial" w:hAnsi="Arial" w:cs="Arial"/>
          <w:b/>
          <w:bCs/>
          <w:color w:val="000000" w:themeColor="text1"/>
          <w:u w:val="single"/>
        </w:rPr>
        <w:t>yanlıştır</w:t>
      </w:r>
      <w:r w:rsidR="00C85EDE" w:rsidRPr="00A61232">
        <w:rPr>
          <w:rFonts w:ascii="Arial" w:hAnsi="Arial" w:cs="Arial"/>
          <w:b/>
          <w:bCs/>
          <w:color w:val="000000" w:themeColor="text1"/>
        </w:rPr>
        <w:t>?</w:t>
      </w:r>
    </w:p>
    <w:p w14:paraId="18597EE0" w14:textId="02A97CFA" w:rsidR="00D87812" w:rsidRPr="00A61232" w:rsidRDefault="00C85EDE" w:rsidP="00130C4F">
      <w:pPr>
        <w:pStyle w:val="ListeParagraf"/>
        <w:numPr>
          <w:ilvl w:val="0"/>
          <w:numId w:val="8"/>
        </w:numPr>
        <w:snapToGrid w:val="0"/>
        <w:spacing w:before="120" w:after="120" w:line="276" w:lineRule="auto"/>
        <w:ind w:left="993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>Kanun hükümleri TBMM eliyle yürütülür</w:t>
      </w:r>
      <w:r w:rsidR="00523D5B" w:rsidRPr="00A61232">
        <w:rPr>
          <w:rFonts w:ascii="Arial" w:hAnsi="Arial" w:cs="Arial"/>
          <w:color w:val="000000" w:themeColor="text1"/>
        </w:rPr>
        <w:t>.</w:t>
      </w:r>
    </w:p>
    <w:p w14:paraId="3C6527C6" w14:textId="068A4C9B" w:rsidR="00D87812" w:rsidRPr="00A61232" w:rsidRDefault="00C85EDE" w:rsidP="00130C4F">
      <w:pPr>
        <w:pStyle w:val="ListeParagraf"/>
        <w:numPr>
          <w:ilvl w:val="0"/>
          <w:numId w:val="8"/>
        </w:numPr>
        <w:snapToGrid w:val="0"/>
        <w:spacing w:before="120" w:after="120" w:line="276" w:lineRule="auto"/>
        <w:ind w:left="993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>Kanun hükümleri Cumhurbaşkanı eliyle yürütülür</w:t>
      </w:r>
      <w:r w:rsidR="00523D5B" w:rsidRPr="00A61232">
        <w:rPr>
          <w:rFonts w:ascii="Arial" w:hAnsi="Arial" w:cs="Arial"/>
          <w:color w:val="000000" w:themeColor="text1"/>
        </w:rPr>
        <w:t>.</w:t>
      </w:r>
    </w:p>
    <w:p w14:paraId="0FB3ACF3" w14:textId="3B2C2BCF" w:rsidR="00D87812" w:rsidRPr="00A61232" w:rsidRDefault="00C85EDE" w:rsidP="00130C4F">
      <w:pPr>
        <w:pStyle w:val="ListeParagraf"/>
        <w:numPr>
          <w:ilvl w:val="0"/>
          <w:numId w:val="8"/>
        </w:numPr>
        <w:snapToGrid w:val="0"/>
        <w:spacing w:before="120" w:after="120" w:line="276" w:lineRule="auto"/>
        <w:ind w:left="993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>Kanun hükümleri yönetmelik eliyle yürütülür</w:t>
      </w:r>
      <w:r w:rsidR="00523D5B" w:rsidRPr="00A61232">
        <w:rPr>
          <w:rFonts w:ascii="Arial" w:hAnsi="Arial" w:cs="Arial"/>
          <w:color w:val="000000" w:themeColor="text1"/>
        </w:rPr>
        <w:t>.</w:t>
      </w:r>
    </w:p>
    <w:p w14:paraId="7945AE25" w14:textId="54DD7216" w:rsidR="00BA22E6" w:rsidRPr="00A61232" w:rsidRDefault="00C85EDE" w:rsidP="00130C4F">
      <w:pPr>
        <w:pStyle w:val="ListeParagraf"/>
        <w:numPr>
          <w:ilvl w:val="0"/>
          <w:numId w:val="8"/>
        </w:numPr>
        <w:snapToGrid w:val="0"/>
        <w:spacing w:before="120" w:after="120" w:line="276" w:lineRule="auto"/>
        <w:ind w:left="993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>Kanun hükümleri bakanlık eliyle yürütülür.</w:t>
      </w:r>
    </w:p>
    <w:p w14:paraId="4E6EA376" w14:textId="77777777" w:rsidR="00EF788F" w:rsidRPr="00A61232" w:rsidRDefault="00EF788F" w:rsidP="00EF788F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5734F66B" w14:textId="77777777" w:rsidR="00EF788F" w:rsidRPr="00A61232" w:rsidRDefault="00EF788F" w:rsidP="00EF788F">
      <w:pPr>
        <w:pStyle w:val="ListeParagraf"/>
        <w:numPr>
          <w:ilvl w:val="0"/>
          <w:numId w:val="19"/>
        </w:num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b/>
          <w:bCs/>
          <w:color w:val="000000" w:themeColor="text1"/>
        </w:rPr>
        <w:t>4982 Sayılı Bilgi Edinme Hakkı Kanunu’na göre aşağıdakilerden hangisi doğrudur?</w:t>
      </w:r>
    </w:p>
    <w:p w14:paraId="25DE5518" w14:textId="77777777" w:rsidR="00EF788F" w:rsidRPr="00A61232" w:rsidRDefault="00EF788F" w:rsidP="00EF788F">
      <w:pPr>
        <w:pStyle w:val="ListeParagraf"/>
        <w:numPr>
          <w:ilvl w:val="0"/>
          <w:numId w:val="14"/>
        </w:numPr>
        <w:snapToGrid w:val="0"/>
        <w:spacing w:before="120" w:after="120" w:line="276" w:lineRule="auto"/>
        <w:ind w:left="993" w:hanging="295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>Görev süresi sona eren üyeler yeniden seçilemezler.</w:t>
      </w:r>
    </w:p>
    <w:p w14:paraId="5D73349C" w14:textId="77777777" w:rsidR="00EF788F" w:rsidRPr="00A61232" w:rsidRDefault="00EF788F" w:rsidP="00EF788F">
      <w:pPr>
        <w:pStyle w:val="ListeParagraf"/>
        <w:numPr>
          <w:ilvl w:val="0"/>
          <w:numId w:val="14"/>
        </w:numPr>
        <w:snapToGrid w:val="0"/>
        <w:spacing w:before="120" w:after="120" w:line="276" w:lineRule="auto"/>
        <w:ind w:left="993" w:hanging="295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>Kurul üyelerinin görev süreleri beş yıldır.</w:t>
      </w:r>
    </w:p>
    <w:p w14:paraId="27B63C09" w14:textId="77777777" w:rsidR="00EF788F" w:rsidRPr="00A61232" w:rsidRDefault="00EF788F" w:rsidP="00EF788F">
      <w:pPr>
        <w:pStyle w:val="ListeParagraf"/>
        <w:numPr>
          <w:ilvl w:val="0"/>
          <w:numId w:val="14"/>
        </w:numPr>
        <w:snapToGrid w:val="0"/>
        <w:spacing w:before="120" w:after="120" w:line="276" w:lineRule="auto"/>
        <w:ind w:left="993" w:hanging="295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>Görev süresi dolmadan görevinden ayrılan üyenin yerine aynı usule göre seçilen üye, dört yıl süreyle görevde kalır.</w:t>
      </w:r>
    </w:p>
    <w:p w14:paraId="1529E64F" w14:textId="77777777" w:rsidR="00EF788F" w:rsidRPr="00A61232" w:rsidRDefault="00EF788F" w:rsidP="00EF788F">
      <w:pPr>
        <w:pStyle w:val="ListeParagraf"/>
        <w:numPr>
          <w:ilvl w:val="0"/>
          <w:numId w:val="14"/>
        </w:numPr>
        <w:snapToGrid w:val="0"/>
        <w:spacing w:before="120" w:after="120" w:line="276" w:lineRule="auto"/>
        <w:ind w:left="993" w:hanging="295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>Kurulun sekretarya hizmetleri Adalet Bakanlığı tarafından yerine getirilir.</w:t>
      </w:r>
    </w:p>
    <w:p w14:paraId="54575EAB" w14:textId="77777777" w:rsidR="00EF788F" w:rsidRPr="00A61232" w:rsidRDefault="00EF788F" w:rsidP="00EF788F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78A85EEA" w14:textId="45C34FE9" w:rsidR="00EF788F" w:rsidRPr="00A61232" w:rsidRDefault="00EF788F" w:rsidP="00EF788F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0591EBA6" w14:textId="762E2A4D" w:rsidR="00C85EDE" w:rsidRPr="00A61232" w:rsidRDefault="00C85EDE" w:rsidP="00EF788F">
      <w:pPr>
        <w:pStyle w:val="ListeParagraf"/>
        <w:numPr>
          <w:ilvl w:val="0"/>
          <w:numId w:val="2"/>
        </w:numPr>
        <w:snapToGrid w:val="0"/>
        <w:spacing w:before="120" w:after="120" w:line="276" w:lineRule="auto"/>
        <w:ind w:left="851" w:hanging="11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lastRenderedPageBreak/>
        <w:t>Türk vatandaşları ve mütekabiliyet esası olması koşuluyla Türkiye’de ikamet eden yabancılar bilgi edinme hakkına sahiptir.</w:t>
      </w:r>
    </w:p>
    <w:p w14:paraId="4A09E9DD" w14:textId="0169BD5C" w:rsidR="00C85EDE" w:rsidRPr="00A61232" w:rsidRDefault="00C85EDE" w:rsidP="00EF788F">
      <w:pPr>
        <w:pStyle w:val="ListeParagraf"/>
        <w:numPr>
          <w:ilvl w:val="0"/>
          <w:numId w:val="2"/>
        </w:numPr>
        <w:snapToGrid w:val="0"/>
        <w:spacing w:before="120" w:after="120" w:line="276" w:lineRule="auto"/>
        <w:ind w:left="851" w:hanging="11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 xml:space="preserve">Kurum ve kuruluşlar, başvuru üzerine istenen bilgi veya belgeye erişimi </w:t>
      </w:r>
      <w:proofErr w:type="spellStart"/>
      <w:r w:rsidRPr="00A61232">
        <w:rPr>
          <w:rFonts w:ascii="Arial" w:hAnsi="Arial" w:cs="Arial"/>
          <w:color w:val="000000" w:themeColor="text1"/>
        </w:rPr>
        <w:t>onbeş</w:t>
      </w:r>
      <w:proofErr w:type="spellEnd"/>
      <w:r w:rsidRPr="00A61232">
        <w:rPr>
          <w:rFonts w:ascii="Arial" w:hAnsi="Arial" w:cs="Arial"/>
          <w:color w:val="000000" w:themeColor="text1"/>
        </w:rPr>
        <w:t xml:space="preserve"> gün içinde sağlarlar</w:t>
      </w:r>
    </w:p>
    <w:p w14:paraId="795DA3B7" w14:textId="5E44B146" w:rsidR="00C85EDE" w:rsidRPr="00A61232" w:rsidRDefault="00C85EDE" w:rsidP="00EF788F">
      <w:pPr>
        <w:pStyle w:val="ListeParagraf"/>
        <w:numPr>
          <w:ilvl w:val="0"/>
          <w:numId w:val="2"/>
        </w:numPr>
        <w:snapToGrid w:val="0"/>
        <w:spacing w:before="120" w:after="120" w:line="276" w:lineRule="auto"/>
        <w:ind w:left="851" w:hanging="11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 xml:space="preserve">Bilgi edinme istemi reddedilen başvuru sahibi, yargı yoluna başvurmadan önce kararın tebliğinden itibaren </w:t>
      </w:r>
      <w:proofErr w:type="spellStart"/>
      <w:r w:rsidRPr="00A61232">
        <w:rPr>
          <w:rFonts w:ascii="Arial" w:hAnsi="Arial" w:cs="Arial"/>
          <w:color w:val="000000" w:themeColor="text1"/>
        </w:rPr>
        <w:t>onbeş</w:t>
      </w:r>
      <w:proofErr w:type="spellEnd"/>
      <w:r w:rsidRPr="00A61232">
        <w:rPr>
          <w:rFonts w:ascii="Arial" w:hAnsi="Arial" w:cs="Arial"/>
          <w:color w:val="000000" w:themeColor="text1"/>
        </w:rPr>
        <w:t xml:space="preserve"> iş günü içinde Kurula itiraz edebilir.</w:t>
      </w:r>
    </w:p>
    <w:p w14:paraId="185E9AEB" w14:textId="707381E0" w:rsidR="00C85EDE" w:rsidRPr="00A61232" w:rsidRDefault="00C85EDE" w:rsidP="00EF788F">
      <w:pPr>
        <w:pStyle w:val="ListeParagraf"/>
        <w:numPr>
          <w:ilvl w:val="0"/>
          <w:numId w:val="2"/>
        </w:numPr>
        <w:snapToGrid w:val="0"/>
        <w:spacing w:before="120" w:after="120" w:line="276" w:lineRule="auto"/>
        <w:ind w:left="851" w:hanging="11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>Bilgi Edinme Değerlendirme Kurulu üyeleri görev süresi bittikten sonra yeniden seçilebilirler.</w:t>
      </w:r>
    </w:p>
    <w:p w14:paraId="0069F188" w14:textId="59E52A43" w:rsidR="00C85EDE" w:rsidRPr="00A61232" w:rsidRDefault="00C85EDE" w:rsidP="00130C4F">
      <w:pPr>
        <w:pStyle w:val="ListeParagraf"/>
        <w:numPr>
          <w:ilvl w:val="0"/>
          <w:numId w:val="19"/>
        </w:num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b/>
          <w:bCs/>
          <w:color w:val="000000" w:themeColor="text1"/>
        </w:rPr>
        <w:t xml:space="preserve">4982 Sayılı Bilgi Edinme Hakkı Kanunu’na göre hangileri </w:t>
      </w:r>
      <w:r w:rsidRPr="00A61232">
        <w:rPr>
          <w:rFonts w:ascii="Arial" w:hAnsi="Arial" w:cs="Arial"/>
          <w:b/>
          <w:bCs/>
          <w:color w:val="000000" w:themeColor="text1"/>
          <w:u w:val="single"/>
        </w:rPr>
        <w:t>yanlıştır</w:t>
      </w:r>
      <w:r w:rsidRPr="00A61232">
        <w:rPr>
          <w:rFonts w:ascii="Arial" w:hAnsi="Arial" w:cs="Arial"/>
          <w:b/>
          <w:bCs/>
          <w:color w:val="000000" w:themeColor="text1"/>
        </w:rPr>
        <w:t>?</w:t>
      </w:r>
    </w:p>
    <w:p w14:paraId="7B639ECE" w14:textId="7CD29BE9" w:rsidR="00C85EDE" w:rsidRPr="00A61232" w:rsidRDefault="00C85EDE" w:rsidP="00130C4F">
      <w:pPr>
        <w:pStyle w:val="ListeParagraf"/>
        <w:numPr>
          <w:ilvl w:val="0"/>
          <w:numId w:val="16"/>
        </w:numPr>
        <w:snapToGrid w:val="0"/>
        <w:spacing w:before="120" w:after="120" w:line="276" w:lineRule="auto"/>
        <w:ind w:hanging="11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>I, II ve III</w:t>
      </w:r>
    </w:p>
    <w:p w14:paraId="37D05214" w14:textId="72850215" w:rsidR="00C85EDE" w:rsidRPr="00A61232" w:rsidRDefault="005143D2" w:rsidP="00130C4F">
      <w:pPr>
        <w:pStyle w:val="ListeParagraf"/>
        <w:numPr>
          <w:ilvl w:val="0"/>
          <w:numId w:val="16"/>
        </w:numPr>
        <w:snapToGrid w:val="0"/>
        <w:spacing w:before="120" w:after="120" w:line="276" w:lineRule="auto"/>
        <w:ind w:hanging="11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>I, II ve IV</w:t>
      </w:r>
    </w:p>
    <w:p w14:paraId="4DE99A43" w14:textId="740445A8" w:rsidR="00C85EDE" w:rsidRPr="00A61232" w:rsidRDefault="005143D2" w:rsidP="00130C4F">
      <w:pPr>
        <w:pStyle w:val="ListeParagraf"/>
        <w:numPr>
          <w:ilvl w:val="0"/>
          <w:numId w:val="16"/>
        </w:numPr>
        <w:snapToGrid w:val="0"/>
        <w:spacing w:before="120" w:after="120" w:line="276" w:lineRule="auto"/>
        <w:ind w:hanging="11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>III ve IV</w:t>
      </w:r>
    </w:p>
    <w:p w14:paraId="15CFE3BE" w14:textId="6E4E205B" w:rsidR="00C85EDE" w:rsidRPr="00A61232" w:rsidRDefault="005143D2" w:rsidP="00130C4F">
      <w:pPr>
        <w:pStyle w:val="ListeParagraf"/>
        <w:numPr>
          <w:ilvl w:val="0"/>
          <w:numId w:val="16"/>
        </w:numPr>
        <w:snapToGrid w:val="0"/>
        <w:spacing w:before="120" w:after="120" w:line="276" w:lineRule="auto"/>
        <w:ind w:hanging="11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>II ve III</w:t>
      </w:r>
    </w:p>
    <w:p w14:paraId="463C2BE2" w14:textId="1B471C95" w:rsidR="00EF788F" w:rsidRPr="00A61232" w:rsidRDefault="00EF788F" w:rsidP="00EF788F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12203EEC" w14:textId="7A1A9F73" w:rsidR="00EF788F" w:rsidRPr="00A61232" w:rsidRDefault="00EF788F" w:rsidP="00EF788F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6A63F610" w14:textId="17E3A43F" w:rsidR="00EF788F" w:rsidRPr="00A61232" w:rsidRDefault="00EF788F" w:rsidP="00EF788F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1320D5F6" w14:textId="6DBD065F" w:rsidR="00EF788F" w:rsidRPr="00A61232" w:rsidRDefault="00EF788F" w:rsidP="00EF788F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07AA59B6" w14:textId="2D403D83" w:rsidR="00EF788F" w:rsidRPr="00A61232" w:rsidRDefault="00EF788F" w:rsidP="00EF788F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14848C61" w14:textId="3C0A2B26" w:rsidR="00EF788F" w:rsidRPr="00A61232" w:rsidRDefault="00EF788F" w:rsidP="00EF788F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6D261656" w14:textId="6933D0A9" w:rsidR="00EF788F" w:rsidRPr="00A61232" w:rsidRDefault="00EF788F" w:rsidP="00EF788F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03D8C122" w14:textId="2D75F1BF" w:rsidR="00EF788F" w:rsidRPr="00A61232" w:rsidRDefault="00EF788F" w:rsidP="00EF788F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20C7EF4D" w14:textId="31341851" w:rsidR="00EF788F" w:rsidRPr="00A61232" w:rsidRDefault="00EF788F" w:rsidP="00EF788F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3695AFDF" w14:textId="2788CCB0" w:rsidR="00EF788F" w:rsidRPr="00A61232" w:rsidRDefault="00EF788F" w:rsidP="00EF788F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46214B23" w14:textId="064C5755" w:rsidR="00EF788F" w:rsidRPr="00A61232" w:rsidRDefault="00EF788F" w:rsidP="00EF788F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39BF14A5" w14:textId="7287E3B1" w:rsidR="00EF788F" w:rsidRPr="00A61232" w:rsidRDefault="00EF788F" w:rsidP="00EF788F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6236F0C3" w14:textId="70BF6598" w:rsidR="00EF788F" w:rsidRPr="00A61232" w:rsidRDefault="00EF788F" w:rsidP="00EF788F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14557791" w14:textId="2DD8AAA7" w:rsidR="00EF788F" w:rsidRPr="00A61232" w:rsidRDefault="00EF788F" w:rsidP="00EF788F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56A5068F" w14:textId="18035100" w:rsidR="00D87812" w:rsidRPr="00A61232" w:rsidRDefault="00D87812" w:rsidP="00FA0F1A">
      <w:pPr>
        <w:pStyle w:val="ListeParagraf"/>
        <w:numPr>
          <w:ilvl w:val="0"/>
          <w:numId w:val="19"/>
        </w:num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b/>
          <w:bCs/>
          <w:color w:val="000000" w:themeColor="text1"/>
        </w:rPr>
        <w:t xml:space="preserve">4982 Sayılı </w:t>
      </w:r>
      <w:r w:rsidR="002F1BEB" w:rsidRPr="00A61232">
        <w:rPr>
          <w:rFonts w:ascii="Arial" w:hAnsi="Arial" w:cs="Arial"/>
          <w:b/>
          <w:bCs/>
          <w:color w:val="000000" w:themeColor="text1"/>
        </w:rPr>
        <w:t>Bilgi Edinme Hakkı Kanunu’</w:t>
      </w:r>
      <w:r w:rsidRPr="00A61232">
        <w:rPr>
          <w:rFonts w:ascii="Arial" w:hAnsi="Arial" w:cs="Arial"/>
          <w:b/>
          <w:bCs/>
          <w:color w:val="000000" w:themeColor="text1"/>
        </w:rPr>
        <w:t xml:space="preserve">na göre </w:t>
      </w:r>
      <w:r w:rsidR="00F64819" w:rsidRPr="00A61232">
        <w:rPr>
          <w:rFonts w:ascii="Arial" w:hAnsi="Arial" w:cs="Arial"/>
          <w:b/>
          <w:bCs/>
          <w:color w:val="000000" w:themeColor="text1"/>
        </w:rPr>
        <w:t xml:space="preserve">bilgi edinme başvurusu hakkında hangisi </w:t>
      </w:r>
      <w:r w:rsidR="00F64819" w:rsidRPr="00A61232">
        <w:rPr>
          <w:rFonts w:ascii="Arial" w:hAnsi="Arial" w:cs="Arial"/>
          <w:b/>
          <w:bCs/>
          <w:color w:val="000000" w:themeColor="text1"/>
          <w:u w:val="single"/>
        </w:rPr>
        <w:t>yanlıştır</w:t>
      </w:r>
      <w:r w:rsidR="00F64819" w:rsidRPr="00A61232">
        <w:rPr>
          <w:rFonts w:ascii="Arial" w:hAnsi="Arial" w:cs="Arial"/>
          <w:b/>
          <w:bCs/>
          <w:color w:val="000000" w:themeColor="text1"/>
        </w:rPr>
        <w:t>?</w:t>
      </w:r>
    </w:p>
    <w:p w14:paraId="6883E5E0" w14:textId="56E6614C" w:rsidR="00D87812" w:rsidRPr="00A61232" w:rsidRDefault="00F64819" w:rsidP="00130C4F">
      <w:pPr>
        <w:pStyle w:val="ListeParagraf"/>
        <w:numPr>
          <w:ilvl w:val="0"/>
          <w:numId w:val="10"/>
        </w:numPr>
        <w:snapToGrid w:val="0"/>
        <w:spacing w:before="120" w:after="120" w:line="276" w:lineRule="auto"/>
        <w:ind w:left="993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>Başvuru başvurulan kurum ve kuruluşların ellerinde bulunan veya görevleri gereği bulunması gereken bilgi veya belgelere ilişkin olmak zorundadır</w:t>
      </w:r>
      <w:r w:rsidR="006D0487" w:rsidRPr="00A61232">
        <w:rPr>
          <w:rFonts w:ascii="Arial" w:hAnsi="Arial" w:cs="Arial"/>
          <w:color w:val="000000" w:themeColor="text1"/>
        </w:rPr>
        <w:t>.</w:t>
      </w:r>
    </w:p>
    <w:p w14:paraId="61C1347B" w14:textId="18AF287C" w:rsidR="00F64819" w:rsidRPr="00A61232" w:rsidRDefault="00775045" w:rsidP="00130C4F">
      <w:pPr>
        <w:pStyle w:val="ListeParagraf"/>
        <w:numPr>
          <w:ilvl w:val="0"/>
          <w:numId w:val="10"/>
        </w:numPr>
        <w:snapToGrid w:val="0"/>
        <w:spacing w:before="120" w:after="120" w:line="276" w:lineRule="auto"/>
        <w:ind w:left="993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 xml:space="preserve">Kurum ve kuruluşlar, ayrı veya özel bir çalışma, araştırma, inceleme ya da analiz neticesinde oluşturulabilecek türden bir bilgi veya belge için yapılacak başvurulara olumsuz cevap veremezler. </w:t>
      </w:r>
    </w:p>
    <w:p w14:paraId="2716A80E" w14:textId="60311D81" w:rsidR="00D87812" w:rsidRPr="00A61232" w:rsidRDefault="00775045" w:rsidP="00130C4F">
      <w:pPr>
        <w:pStyle w:val="ListeParagraf"/>
        <w:numPr>
          <w:ilvl w:val="0"/>
          <w:numId w:val="10"/>
        </w:numPr>
        <w:snapToGrid w:val="0"/>
        <w:spacing w:before="120" w:after="120" w:line="276" w:lineRule="auto"/>
        <w:ind w:left="993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>İstenen bilgi veya belge, başvurulan kurum ve kuruluştan başka bir yerde bulunuyorsa, başvuru dilekçesi bu kurum ve kuruluşa gönderilir ve durum ilgiliye yazılı olarak bildirilir.</w:t>
      </w:r>
    </w:p>
    <w:p w14:paraId="270255D3" w14:textId="1BF7DCA3" w:rsidR="00BA22E6" w:rsidRPr="00A61232" w:rsidRDefault="00775045" w:rsidP="00130C4F">
      <w:pPr>
        <w:pStyle w:val="ListeParagraf"/>
        <w:numPr>
          <w:ilvl w:val="0"/>
          <w:numId w:val="10"/>
        </w:numPr>
        <w:snapToGrid w:val="0"/>
        <w:spacing w:before="120" w:after="120" w:line="276" w:lineRule="auto"/>
        <w:ind w:left="993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>Başvurunun yapıldığı kurum ve kuruluş, erişimine olanak sağladığı bilgi veya belgeler için başvuru sahibinden erişimin gerektirdiği maliyet tutarı kadar bir ücreti bütçeye gelir kaydedilmek üzere tahsil edebilir.</w:t>
      </w:r>
    </w:p>
    <w:p w14:paraId="1CC8FDDA" w14:textId="77777777" w:rsidR="00E14DB9" w:rsidRPr="00A61232" w:rsidRDefault="00E14DB9" w:rsidP="00101F19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6C84CB8A" w14:textId="77777777" w:rsidR="00E14DB9" w:rsidRPr="00A61232" w:rsidRDefault="00E14DB9" w:rsidP="00101F19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253048B7" w14:textId="77777777" w:rsidR="00E14DB9" w:rsidRPr="00A61232" w:rsidRDefault="00E14DB9" w:rsidP="00101F19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7DFC2D56" w14:textId="77777777" w:rsidR="00E14DB9" w:rsidRPr="00A61232" w:rsidRDefault="00E14DB9" w:rsidP="00101F19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74DA6551" w14:textId="77777777" w:rsidR="00E14DB9" w:rsidRPr="00A61232" w:rsidRDefault="00E14DB9" w:rsidP="00101F19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06494D3E" w14:textId="77777777" w:rsidR="00E14DB9" w:rsidRPr="00A61232" w:rsidRDefault="00E14DB9" w:rsidP="00101F19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33B7A89B" w14:textId="77777777" w:rsidR="00E14DB9" w:rsidRPr="00A61232" w:rsidRDefault="00E14DB9" w:rsidP="00101F19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5D7A62CD" w14:textId="77777777" w:rsidR="00E14DB9" w:rsidRPr="00A61232" w:rsidRDefault="00E14DB9" w:rsidP="00101F19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51B02C36" w14:textId="77777777" w:rsidR="00E14DB9" w:rsidRPr="00A61232" w:rsidRDefault="00E14DB9" w:rsidP="00101F19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18F78905" w14:textId="77777777" w:rsidR="00E14DB9" w:rsidRPr="00A61232" w:rsidRDefault="00E14DB9" w:rsidP="00101F19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55D361D3" w14:textId="4C1F5519" w:rsidR="00E14DB9" w:rsidRPr="00A61232" w:rsidRDefault="00E14DB9" w:rsidP="00101F19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345CD712" w14:textId="4EFC1FF6" w:rsidR="00D87812" w:rsidRPr="00A61232" w:rsidRDefault="00D87812" w:rsidP="00130C4F">
      <w:pPr>
        <w:pStyle w:val="ListeParagraf"/>
        <w:numPr>
          <w:ilvl w:val="0"/>
          <w:numId w:val="19"/>
        </w:num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b/>
          <w:bCs/>
          <w:color w:val="000000" w:themeColor="text1"/>
        </w:rPr>
        <w:lastRenderedPageBreak/>
        <w:t xml:space="preserve">4982 Sayılı </w:t>
      </w:r>
      <w:r w:rsidR="002F1BEB" w:rsidRPr="00A61232">
        <w:rPr>
          <w:rFonts w:ascii="Arial" w:hAnsi="Arial" w:cs="Arial"/>
          <w:b/>
          <w:bCs/>
          <w:color w:val="000000" w:themeColor="text1"/>
        </w:rPr>
        <w:t>Bilgi Edinme Hakkı Kanunu’</w:t>
      </w:r>
      <w:r w:rsidRPr="00A61232">
        <w:rPr>
          <w:rFonts w:ascii="Arial" w:hAnsi="Arial" w:cs="Arial"/>
          <w:b/>
          <w:bCs/>
          <w:color w:val="000000" w:themeColor="text1"/>
        </w:rPr>
        <w:t xml:space="preserve">na göre </w:t>
      </w:r>
      <w:r w:rsidR="00DF3D0E" w:rsidRPr="00A61232">
        <w:rPr>
          <w:rFonts w:ascii="Arial" w:hAnsi="Arial" w:cs="Arial"/>
          <w:b/>
          <w:bCs/>
          <w:color w:val="000000" w:themeColor="text1"/>
        </w:rPr>
        <w:t>bilgi v</w:t>
      </w:r>
      <w:r w:rsidR="00775045" w:rsidRPr="00A61232">
        <w:rPr>
          <w:rFonts w:ascii="Arial" w:hAnsi="Arial" w:cs="Arial"/>
          <w:b/>
          <w:bCs/>
          <w:color w:val="000000" w:themeColor="text1"/>
        </w:rPr>
        <w:t xml:space="preserve">e belgeye </w:t>
      </w:r>
      <w:r w:rsidR="0075407C" w:rsidRPr="00A61232">
        <w:rPr>
          <w:rFonts w:ascii="Arial" w:hAnsi="Arial" w:cs="Arial"/>
          <w:b/>
          <w:bCs/>
          <w:color w:val="000000" w:themeColor="text1"/>
        </w:rPr>
        <w:t xml:space="preserve">erişim hakkında hangisi </w:t>
      </w:r>
      <w:r w:rsidR="0075407C" w:rsidRPr="00A61232">
        <w:rPr>
          <w:rFonts w:ascii="Arial" w:hAnsi="Arial" w:cs="Arial"/>
          <w:b/>
          <w:bCs/>
          <w:color w:val="000000" w:themeColor="text1"/>
          <w:u w:val="single"/>
        </w:rPr>
        <w:t>yanlıştır</w:t>
      </w:r>
      <w:r w:rsidR="0075407C" w:rsidRPr="00A61232">
        <w:rPr>
          <w:rFonts w:ascii="Arial" w:hAnsi="Arial" w:cs="Arial"/>
          <w:b/>
          <w:bCs/>
          <w:color w:val="000000" w:themeColor="text1"/>
        </w:rPr>
        <w:t>?</w:t>
      </w:r>
    </w:p>
    <w:p w14:paraId="68B39ED6" w14:textId="46F0BB5E" w:rsidR="00D87812" w:rsidRPr="00A61232" w:rsidRDefault="00E42BB2" w:rsidP="00130C4F">
      <w:pPr>
        <w:pStyle w:val="ListeParagraf"/>
        <w:numPr>
          <w:ilvl w:val="0"/>
          <w:numId w:val="11"/>
        </w:numPr>
        <w:snapToGrid w:val="0"/>
        <w:spacing w:before="120" w:after="120" w:line="276" w:lineRule="auto"/>
        <w:ind w:left="993" w:hanging="295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>Bilgi veya belgenin niteliği gereği kopyasının verilmesinin mümkün olmadığı veya kopya çıkarılmasının aslına zarar vereceği hâllerde, kurum ve kuruluşlar ilgilinin ses kaydı şeklindeki bilgi veya belgelerde bunları dinleyebilmesini sağlarlar.</w:t>
      </w:r>
    </w:p>
    <w:p w14:paraId="4DE154A7" w14:textId="5D5C92B9" w:rsidR="00D87812" w:rsidRPr="00A61232" w:rsidRDefault="00E42BB2" w:rsidP="00130C4F">
      <w:pPr>
        <w:pStyle w:val="ListeParagraf"/>
        <w:numPr>
          <w:ilvl w:val="0"/>
          <w:numId w:val="11"/>
        </w:numPr>
        <w:snapToGrid w:val="0"/>
        <w:spacing w:before="120" w:after="120" w:line="276" w:lineRule="auto"/>
        <w:ind w:left="993" w:hanging="295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>Kurum ve kuruluşlar, başvuru sahibine istenen belgenin onaylı bir kopyasını verirler.</w:t>
      </w:r>
    </w:p>
    <w:p w14:paraId="58796D7F" w14:textId="5A95FFD0" w:rsidR="00D87812" w:rsidRPr="00A61232" w:rsidRDefault="00E42BB2" w:rsidP="00130C4F">
      <w:pPr>
        <w:pStyle w:val="ListeParagraf"/>
        <w:numPr>
          <w:ilvl w:val="0"/>
          <w:numId w:val="11"/>
        </w:numPr>
        <w:snapToGrid w:val="0"/>
        <w:spacing w:before="120" w:after="120" w:line="276" w:lineRule="auto"/>
        <w:ind w:left="993" w:hanging="295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 xml:space="preserve">Bilgi veya belgenin </w:t>
      </w:r>
      <w:r w:rsidR="00FA0F1A" w:rsidRPr="00A61232">
        <w:rPr>
          <w:rFonts w:ascii="Arial" w:hAnsi="Arial" w:cs="Arial"/>
          <w:color w:val="000000" w:themeColor="text1"/>
        </w:rPr>
        <w:t>kanunda belirtilenlerden</w:t>
      </w:r>
      <w:r w:rsidRPr="00A61232">
        <w:rPr>
          <w:rFonts w:ascii="Arial" w:hAnsi="Arial" w:cs="Arial"/>
          <w:color w:val="000000" w:themeColor="text1"/>
        </w:rPr>
        <w:t xml:space="preserve"> farklı bir şekilde elde edilmesi mümkün ise, bu olanak koşulsuz bir şekilde sağlanır.</w:t>
      </w:r>
    </w:p>
    <w:p w14:paraId="456A9161" w14:textId="70DD7C34" w:rsidR="00D87812" w:rsidRPr="00A61232" w:rsidRDefault="00E42BB2" w:rsidP="00130C4F">
      <w:pPr>
        <w:pStyle w:val="ListeParagraf"/>
        <w:numPr>
          <w:ilvl w:val="0"/>
          <w:numId w:val="11"/>
        </w:numPr>
        <w:snapToGrid w:val="0"/>
        <w:spacing w:before="120" w:after="120" w:line="276" w:lineRule="auto"/>
        <w:ind w:left="993" w:hanging="295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>Bilgi veya belgenin niteliği gereği kopyasının verilmesinin mümkün olmadığı veya kopya çıkarılmasının aslına zarar vereceği hâllerde, kurum ve kuruluşlar ilgilinin Görüntü kaydı şeklindeki bilgi veya belgelerde bunları izleyebilmesini, sağlarlar.</w:t>
      </w:r>
    </w:p>
    <w:p w14:paraId="7BF2B991" w14:textId="55DCE728" w:rsidR="00EF788F" w:rsidRPr="00A61232" w:rsidRDefault="00EF788F" w:rsidP="00EF788F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169CD97A" w14:textId="1A4FDF09" w:rsidR="00EF788F" w:rsidRPr="00A61232" w:rsidRDefault="00EF788F" w:rsidP="00EF788F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052C1B37" w14:textId="081CB047" w:rsidR="00EF788F" w:rsidRPr="00A61232" w:rsidRDefault="00EF788F" w:rsidP="00EF788F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4FA3361C" w14:textId="435FB15B" w:rsidR="00EF788F" w:rsidRPr="00A61232" w:rsidRDefault="00EF788F" w:rsidP="00EF788F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4923BA16" w14:textId="7AA6C983" w:rsidR="00EF788F" w:rsidRPr="00A61232" w:rsidRDefault="00EF788F" w:rsidP="00EF788F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6B8D9987" w14:textId="3247C276" w:rsidR="00EF788F" w:rsidRPr="00A61232" w:rsidRDefault="00EF788F" w:rsidP="00EF788F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05FBEA6F" w14:textId="2C5D5554" w:rsidR="00EF788F" w:rsidRPr="00A61232" w:rsidRDefault="00EF788F" w:rsidP="00EF788F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139F496A" w14:textId="60D02F70" w:rsidR="00EF788F" w:rsidRPr="00A61232" w:rsidRDefault="00EF788F" w:rsidP="00EF788F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2DB8C3EA" w14:textId="2440B4E3" w:rsidR="00EF788F" w:rsidRPr="00A61232" w:rsidRDefault="00EF788F" w:rsidP="00EF788F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616829E0" w14:textId="741B662A" w:rsidR="00EF788F" w:rsidRPr="00A61232" w:rsidRDefault="00EF788F" w:rsidP="00EF788F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5A2B59C2" w14:textId="77777777" w:rsidR="00EF788F" w:rsidRPr="00A61232" w:rsidRDefault="00EF788F" w:rsidP="00EF788F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2DD8D621" w14:textId="606C1936" w:rsidR="00D87812" w:rsidRPr="00A61232" w:rsidRDefault="00D87812" w:rsidP="00130C4F">
      <w:pPr>
        <w:pStyle w:val="ListeParagraf"/>
        <w:numPr>
          <w:ilvl w:val="0"/>
          <w:numId w:val="19"/>
        </w:num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b/>
          <w:bCs/>
          <w:color w:val="000000" w:themeColor="text1"/>
        </w:rPr>
        <w:t xml:space="preserve">4982 Sayılı </w:t>
      </w:r>
      <w:r w:rsidR="002F1BEB" w:rsidRPr="00A61232">
        <w:rPr>
          <w:rFonts w:ascii="Arial" w:hAnsi="Arial" w:cs="Arial"/>
          <w:b/>
          <w:bCs/>
          <w:color w:val="000000" w:themeColor="text1"/>
        </w:rPr>
        <w:t>Bilgi Edinme Hakkı Kanunu’</w:t>
      </w:r>
      <w:r w:rsidRPr="00A61232">
        <w:rPr>
          <w:rFonts w:ascii="Arial" w:hAnsi="Arial" w:cs="Arial"/>
          <w:b/>
          <w:bCs/>
          <w:color w:val="000000" w:themeColor="text1"/>
        </w:rPr>
        <w:t xml:space="preserve">na göre </w:t>
      </w:r>
      <w:r w:rsidR="00E42BB2" w:rsidRPr="00A61232">
        <w:rPr>
          <w:rFonts w:ascii="Arial" w:hAnsi="Arial" w:cs="Arial"/>
          <w:b/>
          <w:bCs/>
          <w:color w:val="000000" w:themeColor="text1"/>
        </w:rPr>
        <w:t>aşağıdakilerden hangisi doğrudur?</w:t>
      </w:r>
    </w:p>
    <w:p w14:paraId="729B8B79" w14:textId="16890DAF" w:rsidR="00D87812" w:rsidRPr="00A61232" w:rsidRDefault="00E42BB2" w:rsidP="00130C4F">
      <w:pPr>
        <w:pStyle w:val="ListeParagraf"/>
        <w:numPr>
          <w:ilvl w:val="0"/>
          <w:numId w:val="12"/>
        </w:numPr>
        <w:snapToGrid w:val="0"/>
        <w:spacing w:before="120" w:after="120" w:line="276" w:lineRule="auto"/>
        <w:ind w:left="993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>Bilgi Edinme Kurula itiraz, başvuru sahibinin idarî yargıya başvurma süresini durdurmaz.</w:t>
      </w:r>
    </w:p>
    <w:p w14:paraId="544298D7" w14:textId="498751D8" w:rsidR="00D87812" w:rsidRPr="00A61232" w:rsidRDefault="00E42BB2" w:rsidP="00130C4F">
      <w:pPr>
        <w:pStyle w:val="ListeParagraf"/>
        <w:numPr>
          <w:ilvl w:val="0"/>
          <w:numId w:val="12"/>
        </w:numPr>
        <w:snapToGrid w:val="0"/>
        <w:spacing w:before="120" w:after="120" w:line="276" w:lineRule="auto"/>
        <w:ind w:left="993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 xml:space="preserve">Kurum ve kuruluşlar, Bilgi Edinme Kurulun istediği her türlü bilgi veya belgeyi </w:t>
      </w:r>
      <w:proofErr w:type="spellStart"/>
      <w:r w:rsidRPr="00A61232">
        <w:rPr>
          <w:rFonts w:ascii="Arial" w:hAnsi="Arial" w:cs="Arial"/>
          <w:color w:val="000000" w:themeColor="text1"/>
        </w:rPr>
        <w:t>onbeş</w:t>
      </w:r>
      <w:proofErr w:type="spellEnd"/>
      <w:r w:rsidRPr="00A61232">
        <w:rPr>
          <w:rFonts w:ascii="Arial" w:hAnsi="Arial" w:cs="Arial"/>
          <w:color w:val="000000" w:themeColor="text1"/>
        </w:rPr>
        <w:t xml:space="preserve"> gün içinde vermekle yükümlüdürler</w:t>
      </w:r>
      <w:r w:rsidR="00E14DB9" w:rsidRPr="00A61232">
        <w:rPr>
          <w:rFonts w:ascii="Arial" w:hAnsi="Arial" w:cs="Arial"/>
          <w:color w:val="000000" w:themeColor="text1"/>
        </w:rPr>
        <w:t>.</w:t>
      </w:r>
    </w:p>
    <w:p w14:paraId="19EE61ED" w14:textId="675BAF6C" w:rsidR="00D87812" w:rsidRPr="00A61232" w:rsidRDefault="00E42BB2" w:rsidP="00130C4F">
      <w:pPr>
        <w:pStyle w:val="ListeParagraf"/>
        <w:numPr>
          <w:ilvl w:val="0"/>
          <w:numId w:val="12"/>
        </w:numPr>
        <w:snapToGrid w:val="0"/>
        <w:spacing w:before="120" w:after="120" w:line="276" w:lineRule="auto"/>
        <w:ind w:left="993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 xml:space="preserve">Kurum ve kuruluşlar, başvuru üzerine istenen bilgi veya belgeye erişimi </w:t>
      </w:r>
      <w:proofErr w:type="spellStart"/>
      <w:r w:rsidRPr="00A61232">
        <w:rPr>
          <w:rFonts w:ascii="Arial" w:hAnsi="Arial" w:cs="Arial"/>
          <w:color w:val="000000" w:themeColor="text1"/>
        </w:rPr>
        <w:t>onbeş</w:t>
      </w:r>
      <w:proofErr w:type="spellEnd"/>
      <w:r w:rsidRPr="00A61232">
        <w:rPr>
          <w:rFonts w:ascii="Arial" w:hAnsi="Arial" w:cs="Arial"/>
          <w:color w:val="000000" w:themeColor="text1"/>
        </w:rPr>
        <w:t xml:space="preserve"> gün içinde sağlarlar</w:t>
      </w:r>
      <w:r w:rsidR="00E14DB9" w:rsidRPr="00A61232">
        <w:rPr>
          <w:rFonts w:ascii="Arial" w:hAnsi="Arial" w:cs="Arial"/>
          <w:color w:val="000000" w:themeColor="text1"/>
        </w:rPr>
        <w:t>.</w:t>
      </w:r>
    </w:p>
    <w:p w14:paraId="692F7133" w14:textId="04A859BD" w:rsidR="00D87812" w:rsidRPr="00A61232" w:rsidRDefault="00E42BB2" w:rsidP="00130C4F">
      <w:pPr>
        <w:pStyle w:val="ListeParagraf"/>
        <w:numPr>
          <w:ilvl w:val="0"/>
          <w:numId w:val="12"/>
        </w:numPr>
        <w:snapToGrid w:val="0"/>
        <w:spacing w:before="120" w:after="120" w:line="276" w:lineRule="auto"/>
        <w:ind w:left="993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>Bilgi Edinme Kurulu, Cumhurbaşkanı’nın seçeceği dokuz üyeden oluşur</w:t>
      </w:r>
      <w:r w:rsidR="00E14DB9" w:rsidRPr="00A61232">
        <w:rPr>
          <w:rFonts w:ascii="Arial" w:hAnsi="Arial" w:cs="Arial"/>
          <w:color w:val="000000" w:themeColor="text1"/>
        </w:rPr>
        <w:t>.</w:t>
      </w:r>
    </w:p>
    <w:p w14:paraId="2DE78224" w14:textId="77777777" w:rsidR="00E14DB9" w:rsidRPr="00A61232" w:rsidRDefault="00E14DB9" w:rsidP="00101F19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1193C42F" w14:textId="4ABD56FC" w:rsidR="00D87812" w:rsidRPr="00A61232" w:rsidRDefault="00D87812" w:rsidP="00130C4F">
      <w:pPr>
        <w:pStyle w:val="ListeParagraf"/>
        <w:numPr>
          <w:ilvl w:val="0"/>
          <w:numId w:val="19"/>
        </w:num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b/>
          <w:bCs/>
          <w:color w:val="000000" w:themeColor="text1"/>
        </w:rPr>
        <w:t xml:space="preserve">4982 Sayılı </w:t>
      </w:r>
      <w:r w:rsidR="002F1BEB" w:rsidRPr="00A61232">
        <w:rPr>
          <w:rFonts w:ascii="Arial" w:hAnsi="Arial" w:cs="Arial"/>
          <w:b/>
          <w:bCs/>
          <w:color w:val="000000" w:themeColor="text1"/>
        </w:rPr>
        <w:t>Bilgi Edinme Hakkı Kanunu’</w:t>
      </w:r>
      <w:r w:rsidRPr="00A61232">
        <w:rPr>
          <w:rFonts w:ascii="Arial" w:hAnsi="Arial" w:cs="Arial"/>
          <w:b/>
          <w:bCs/>
          <w:color w:val="000000" w:themeColor="text1"/>
        </w:rPr>
        <w:t xml:space="preserve">na göre </w:t>
      </w:r>
      <w:r w:rsidR="00E42BB2" w:rsidRPr="00A61232">
        <w:rPr>
          <w:rFonts w:ascii="Arial" w:hAnsi="Arial" w:cs="Arial"/>
          <w:b/>
          <w:bCs/>
          <w:color w:val="000000" w:themeColor="text1"/>
        </w:rPr>
        <w:t xml:space="preserve">Bilgi Edinme Kurulu Üyelerinin seçimine ilişkin hangisi </w:t>
      </w:r>
      <w:r w:rsidR="00E42BB2" w:rsidRPr="00A61232">
        <w:rPr>
          <w:rFonts w:ascii="Arial" w:hAnsi="Arial" w:cs="Arial"/>
          <w:b/>
          <w:bCs/>
          <w:color w:val="000000" w:themeColor="text1"/>
          <w:u w:val="single"/>
        </w:rPr>
        <w:t>yanlıştır</w:t>
      </w:r>
      <w:r w:rsidR="00E42BB2" w:rsidRPr="00A61232">
        <w:rPr>
          <w:rFonts w:ascii="Arial" w:hAnsi="Arial" w:cs="Arial"/>
          <w:b/>
          <w:bCs/>
          <w:color w:val="000000" w:themeColor="text1"/>
        </w:rPr>
        <w:t>?</w:t>
      </w:r>
    </w:p>
    <w:p w14:paraId="6CD9F22C" w14:textId="2E77AAAC" w:rsidR="00D87812" w:rsidRPr="00A61232" w:rsidRDefault="00D05422" w:rsidP="00130C4F">
      <w:pPr>
        <w:pStyle w:val="ListeParagraf"/>
        <w:numPr>
          <w:ilvl w:val="0"/>
          <w:numId w:val="13"/>
        </w:numPr>
        <w:snapToGrid w:val="0"/>
        <w:spacing w:before="120" w:after="120" w:line="276" w:lineRule="auto"/>
        <w:ind w:left="993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>Anayasa Mahkemesi genel kurulu tarafından önerilecek ikişer aday arasından seçim yapılır.</w:t>
      </w:r>
    </w:p>
    <w:p w14:paraId="002C7D8C" w14:textId="1F5624A6" w:rsidR="00D87812" w:rsidRPr="00A61232" w:rsidRDefault="00D05422" w:rsidP="00130C4F">
      <w:pPr>
        <w:pStyle w:val="ListeParagraf"/>
        <w:numPr>
          <w:ilvl w:val="0"/>
          <w:numId w:val="13"/>
        </w:numPr>
        <w:snapToGrid w:val="0"/>
        <w:spacing w:before="120" w:after="120" w:line="276" w:lineRule="auto"/>
        <w:ind w:left="993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 xml:space="preserve">Bir üyesi Adalet Bakanının önerisi üzerine bu Bakanlıkta idarî görevlerde çalışan hâkimler </w:t>
      </w:r>
      <w:proofErr w:type="gramStart"/>
      <w:r w:rsidRPr="00A61232">
        <w:rPr>
          <w:rFonts w:ascii="Arial" w:hAnsi="Arial" w:cs="Arial"/>
          <w:color w:val="000000" w:themeColor="text1"/>
        </w:rPr>
        <w:t>arasından  seçim</w:t>
      </w:r>
      <w:proofErr w:type="gramEnd"/>
      <w:r w:rsidRPr="00A61232">
        <w:rPr>
          <w:rFonts w:ascii="Arial" w:hAnsi="Arial" w:cs="Arial"/>
          <w:color w:val="000000" w:themeColor="text1"/>
        </w:rPr>
        <w:t xml:space="preserve"> yapılır.</w:t>
      </w:r>
    </w:p>
    <w:p w14:paraId="31A96F37" w14:textId="2DCCF845" w:rsidR="00D87812" w:rsidRPr="00A61232" w:rsidRDefault="00D05422" w:rsidP="00130C4F">
      <w:pPr>
        <w:pStyle w:val="ListeParagraf"/>
        <w:numPr>
          <w:ilvl w:val="0"/>
          <w:numId w:val="13"/>
        </w:numPr>
        <w:snapToGrid w:val="0"/>
        <w:spacing w:before="120" w:after="120" w:line="276" w:lineRule="auto"/>
        <w:ind w:left="993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>B</w:t>
      </w:r>
      <w:r w:rsidR="00E42BB2" w:rsidRPr="00A61232">
        <w:rPr>
          <w:rFonts w:ascii="Arial" w:hAnsi="Arial" w:cs="Arial"/>
          <w:color w:val="000000" w:themeColor="text1"/>
        </w:rPr>
        <w:t xml:space="preserve">irer üyesi Yargıtay ve Danıştay genel kurullarının kendi kurumları içinden önerecekleri ikişer aday </w:t>
      </w:r>
      <w:proofErr w:type="gramStart"/>
      <w:r w:rsidRPr="00A61232">
        <w:rPr>
          <w:rFonts w:ascii="Arial" w:hAnsi="Arial" w:cs="Arial"/>
          <w:color w:val="000000" w:themeColor="text1"/>
        </w:rPr>
        <w:t>arasından  seçim</w:t>
      </w:r>
      <w:proofErr w:type="gramEnd"/>
      <w:r w:rsidRPr="00A61232">
        <w:rPr>
          <w:rFonts w:ascii="Arial" w:hAnsi="Arial" w:cs="Arial"/>
          <w:color w:val="000000" w:themeColor="text1"/>
        </w:rPr>
        <w:t xml:space="preserve"> yapılır.</w:t>
      </w:r>
    </w:p>
    <w:p w14:paraId="4432DB76" w14:textId="4FD3F1C8" w:rsidR="00E42BB2" w:rsidRPr="00A61232" w:rsidRDefault="00D05422" w:rsidP="00130C4F">
      <w:pPr>
        <w:pStyle w:val="ListeParagraf"/>
        <w:numPr>
          <w:ilvl w:val="0"/>
          <w:numId w:val="13"/>
        </w:numPr>
        <w:snapToGrid w:val="0"/>
        <w:spacing w:before="120" w:after="120" w:line="276" w:lineRule="auto"/>
        <w:ind w:left="993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 xml:space="preserve">Türkiye Barolar Birliğinin baro başkanı seçilme yeterliliğine sahip kişiler içinden göstereceği iki aday </w:t>
      </w:r>
      <w:proofErr w:type="gramStart"/>
      <w:r w:rsidRPr="00A61232">
        <w:rPr>
          <w:rFonts w:ascii="Arial" w:hAnsi="Arial" w:cs="Arial"/>
          <w:color w:val="000000" w:themeColor="text1"/>
        </w:rPr>
        <w:t>arasından  seçim</w:t>
      </w:r>
      <w:proofErr w:type="gramEnd"/>
      <w:r w:rsidRPr="00A61232">
        <w:rPr>
          <w:rFonts w:ascii="Arial" w:hAnsi="Arial" w:cs="Arial"/>
          <w:color w:val="000000" w:themeColor="text1"/>
        </w:rPr>
        <w:t xml:space="preserve"> yapılır.</w:t>
      </w:r>
    </w:p>
    <w:p w14:paraId="70C2A8D5" w14:textId="77777777" w:rsidR="00BA22E6" w:rsidRPr="00A61232" w:rsidRDefault="00BA22E6" w:rsidP="00101F19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4563960A" w14:textId="77777777" w:rsidR="00E14DB9" w:rsidRPr="00A61232" w:rsidRDefault="00E14DB9" w:rsidP="00101F19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2031E737" w14:textId="36A3D59C" w:rsidR="005C210A" w:rsidRPr="00A61232" w:rsidRDefault="005C210A" w:rsidP="00101F19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05DDD9AB" w14:textId="77777777" w:rsidR="005C210A" w:rsidRPr="00A61232" w:rsidRDefault="005C210A" w:rsidP="00101F19">
      <w:p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63556F6F" w14:textId="34F9D72B" w:rsidR="00D87812" w:rsidRPr="00A61232" w:rsidRDefault="00D87812" w:rsidP="00130C4F">
      <w:pPr>
        <w:pStyle w:val="ListeParagraf"/>
        <w:numPr>
          <w:ilvl w:val="0"/>
          <w:numId w:val="19"/>
        </w:num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b/>
          <w:bCs/>
          <w:color w:val="000000" w:themeColor="text1"/>
        </w:rPr>
        <w:t xml:space="preserve">4982 Sayılı Bilgi Edinme </w:t>
      </w:r>
      <w:r w:rsidR="002F1BEB" w:rsidRPr="00A61232">
        <w:rPr>
          <w:rFonts w:ascii="Arial" w:hAnsi="Arial" w:cs="Arial"/>
          <w:b/>
          <w:bCs/>
          <w:color w:val="000000" w:themeColor="text1"/>
        </w:rPr>
        <w:t>Hakkı Kanunu’</w:t>
      </w:r>
      <w:r w:rsidRPr="00A61232">
        <w:rPr>
          <w:rFonts w:ascii="Arial" w:hAnsi="Arial" w:cs="Arial"/>
          <w:b/>
          <w:bCs/>
          <w:color w:val="000000" w:themeColor="text1"/>
        </w:rPr>
        <w:t xml:space="preserve">na göre </w:t>
      </w:r>
      <w:r w:rsidR="00D05422" w:rsidRPr="00A61232">
        <w:rPr>
          <w:rFonts w:ascii="Arial" w:hAnsi="Arial" w:cs="Arial"/>
          <w:b/>
          <w:bCs/>
          <w:color w:val="000000" w:themeColor="text1"/>
        </w:rPr>
        <w:t>aşağıdakilerden hangisi doğrudur?</w:t>
      </w:r>
    </w:p>
    <w:p w14:paraId="1E5188E3" w14:textId="45345DAB" w:rsidR="00D05422" w:rsidRPr="00A61232" w:rsidRDefault="001A6761" w:rsidP="00130C4F">
      <w:pPr>
        <w:pStyle w:val="ListeParagraf"/>
        <w:numPr>
          <w:ilvl w:val="0"/>
          <w:numId w:val="15"/>
        </w:numPr>
        <w:snapToGrid w:val="0"/>
        <w:spacing w:before="120" w:after="120" w:line="276" w:lineRule="auto"/>
        <w:ind w:left="993" w:hanging="295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>Kurul tarafından hazırlanacak</w:t>
      </w:r>
      <w:r w:rsidR="00D05422" w:rsidRPr="00A61232">
        <w:rPr>
          <w:rFonts w:ascii="Arial" w:hAnsi="Arial" w:cs="Arial"/>
          <w:color w:val="000000" w:themeColor="text1"/>
        </w:rPr>
        <w:t xml:space="preserve"> genel rapor, söz konusu kurum ve kuruluşların raporları ile birlikte her yıl </w:t>
      </w:r>
      <w:r w:rsidRPr="00A61232">
        <w:rPr>
          <w:rFonts w:ascii="Arial" w:hAnsi="Arial" w:cs="Arial"/>
          <w:color w:val="000000" w:themeColor="text1"/>
        </w:rPr>
        <w:t>Ocak</w:t>
      </w:r>
      <w:r w:rsidR="00D05422" w:rsidRPr="00A61232">
        <w:rPr>
          <w:rFonts w:ascii="Arial" w:hAnsi="Arial" w:cs="Arial"/>
          <w:color w:val="000000" w:themeColor="text1"/>
        </w:rPr>
        <w:t xml:space="preserve"> ayının sonuna kadar Türkiye Büyük Millet Meclisine gönderir</w:t>
      </w:r>
      <w:r w:rsidR="006D0487" w:rsidRPr="00A61232">
        <w:rPr>
          <w:rFonts w:ascii="Arial" w:hAnsi="Arial" w:cs="Arial"/>
          <w:color w:val="000000" w:themeColor="text1"/>
        </w:rPr>
        <w:t>.</w:t>
      </w:r>
    </w:p>
    <w:p w14:paraId="3AD3066B" w14:textId="49C17926" w:rsidR="00D87812" w:rsidRPr="00A61232" w:rsidRDefault="00D05422" w:rsidP="00130C4F">
      <w:pPr>
        <w:pStyle w:val="ListeParagraf"/>
        <w:numPr>
          <w:ilvl w:val="0"/>
          <w:numId w:val="15"/>
        </w:numPr>
        <w:snapToGrid w:val="0"/>
        <w:spacing w:before="120" w:after="120" w:line="276" w:lineRule="auto"/>
        <w:ind w:left="993" w:hanging="295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>Gizliliği kaldırılmış olan bilgi veya belgeler, bu Kanunda belirtilen diğer istisnalar kapsamına girmiyor ise, bilgi edinme başvurularına açık hâle gelir.</w:t>
      </w:r>
    </w:p>
    <w:p w14:paraId="4CA9FDC1" w14:textId="42CCFC8C" w:rsidR="00D87812" w:rsidRPr="00A61232" w:rsidRDefault="00372197" w:rsidP="00130C4F">
      <w:pPr>
        <w:pStyle w:val="ListeParagraf"/>
        <w:numPr>
          <w:ilvl w:val="0"/>
          <w:numId w:val="15"/>
        </w:numPr>
        <w:snapToGrid w:val="0"/>
        <w:spacing w:before="120" w:after="120" w:line="276" w:lineRule="auto"/>
        <w:ind w:left="993" w:hanging="295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 xml:space="preserve">Bilgi edinme istemi reddedilen başvuru sahibi, yargı yoluna başvurmadan önce kararın tebliğinden itibaren </w:t>
      </w:r>
      <w:proofErr w:type="spellStart"/>
      <w:r w:rsidRPr="00A61232">
        <w:rPr>
          <w:rFonts w:ascii="Arial" w:hAnsi="Arial" w:cs="Arial"/>
          <w:color w:val="000000" w:themeColor="text1"/>
        </w:rPr>
        <w:t>onbeş</w:t>
      </w:r>
      <w:proofErr w:type="spellEnd"/>
      <w:r w:rsidRPr="00A61232">
        <w:rPr>
          <w:rFonts w:ascii="Arial" w:hAnsi="Arial" w:cs="Arial"/>
          <w:color w:val="000000" w:themeColor="text1"/>
        </w:rPr>
        <w:t xml:space="preserve"> gün içinde Kurula itiraz edebilir. Kurul, bu konudaki kararını otuz gün içinde verir.</w:t>
      </w:r>
    </w:p>
    <w:p w14:paraId="0DCDA356" w14:textId="2BCCA421" w:rsidR="007A2509" w:rsidRPr="00A61232" w:rsidRDefault="00372197" w:rsidP="00130C4F">
      <w:pPr>
        <w:pStyle w:val="ListeParagraf"/>
        <w:numPr>
          <w:ilvl w:val="0"/>
          <w:numId w:val="15"/>
        </w:numPr>
        <w:snapToGrid w:val="0"/>
        <w:spacing w:before="120" w:after="120" w:line="276" w:lineRule="auto"/>
        <w:ind w:left="993" w:hanging="295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 xml:space="preserve">Bilgi Edinme Kurul üyeliğine </w:t>
      </w:r>
      <w:r w:rsidR="002461CE" w:rsidRPr="00A61232">
        <w:rPr>
          <w:rFonts w:ascii="Arial" w:hAnsi="Arial" w:cs="Arial"/>
          <w:color w:val="000000" w:themeColor="text1"/>
        </w:rPr>
        <w:t>önerilen adayların muvafakatle</w:t>
      </w:r>
      <w:r w:rsidRPr="00A61232">
        <w:rPr>
          <w:rFonts w:ascii="Arial" w:hAnsi="Arial" w:cs="Arial"/>
          <w:color w:val="000000" w:themeColor="text1"/>
        </w:rPr>
        <w:t>ri aranmaz.</w:t>
      </w:r>
    </w:p>
    <w:p w14:paraId="65C32502" w14:textId="77777777" w:rsidR="00E14DB9" w:rsidRPr="00A61232" w:rsidRDefault="00E14DB9" w:rsidP="00101F19">
      <w:pPr>
        <w:pStyle w:val="ListeParagraf"/>
        <w:snapToGrid w:val="0"/>
        <w:spacing w:before="120" w:after="12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</w:p>
    <w:p w14:paraId="11BF13D5" w14:textId="77777777" w:rsidR="006D0487" w:rsidRPr="00A61232" w:rsidRDefault="006D0487" w:rsidP="00101F19">
      <w:pPr>
        <w:pStyle w:val="ListeParagraf"/>
        <w:snapToGrid w:val="0"/>
        <w:spacing w:before="120" w:after="12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</w:p>
    <w:p w14:paraId="49061BA9" w14:textId="77777777" w:rsidR="006D0487" w:rsidRPr="00A61232" w:rsidRDefault="006D0487" w:rsidP="00101F19">
      <w:pPr>
        <w:pStyle w:val="ListeParagraf"/>
        <w:snapToGrid w:val="0"/>
        <w:spacing w:before="120" w:after="12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</w:p>
    <w:p w14:paraId="1CEF7768" w14:textId="77777777" w:rsidR="006D0487" w:rsidRPr="00A61232" w:rsidRDefault="006D0487" w:rsidP="00101F19">
      <w:pPr>
        <w:pStyle w:val="ListeParagraf"/>
        <w:snapToGrid w:val="0"/>
        <w:spacing w:before="120" w:after="12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</w:p>
    <w:p w14:paraId="742C5CF9" w14:textId="77777777" w:rsidR="006D0487" w:rsidRPr="00A61232" w:rsidRDefault="006D0487" w:rsidP="00101F19">
      <w:pPr>
        <w:pStyle w:val="ListeParagraf"/>
        <w:snapToGrid w:val="0"/>
        <w:spacing w:before="120" w:after="12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</w:p>
    <w:p w14:paraId="748F7E33" w14:textId="77777777" w:rsidR="005C210A" w:rsidRPr="00A61232" w:rsidRDefault="005C210A" w:rsidP="00101F19">
      <w:pPr>
        <w:pStyle w:val="ListeParagraf"/>
        <w:snapToGrid w:val="0"/>
        <w:spacing w:before="120" w:after="12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</w:p>
    <w:p w14:paraId="75A27CDB" w14:textId="77777777" w:rsidR="005C210A" w:rsidRPr="00A61232" w:rsidRDefault="005C210A" w:rsidP="00101F19">
      <w:pPr>
        <w:pStyle w:val="ListeParagraf"/>
        <w:snapToGrid w:val="0"/>
        <w:spacing w:before="120" w:after="12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</w:p>
    <w:p w14:paraId="1A709BFE" w14:textId="77777777" w:rsidR="005C210A" w:rsidRPr="00A61232" w:rsidRDefault="005C210A" w:rsidP="00101F19">
      <w:pPr>
        <w:pStyle w:val="ListeParagraf"/>
        <w:snapToGrid w:val="0"/>
        <w:spacing w:before="120" w:after="12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</w:p>
    <w:p w14:paraId="12EBB8D1" w14:textId="77777777" w:rsidR="005C210A" w:rsidRPr="00A61232" w:rsidRDefault="005C210A" w:rsidP="00101F19">
      <w:pPr>
        <w:pStyle w:val="ListeParagraf"/>
        <w:snapToGrid w:val="0"/>
        <w:spacing w:before="120" w:after="12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</w:p>
    <w:p w14:paraId="2E3EF905" w14:textId="77777777" w:rsidR="005C210A" w:rsidRPr="00A61232" w:rsidRDefault="005C210A" w:rsidP="00101F19">
      <w:pPr>
        <w:pStyle w:val="ListeParagraf"/>
        <w:snapToGrid w:val="0"/>
        <w:spacing w:before="120" w:after="12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</w:p>
    <w:p w14:paraId="06F96161" w14:textId="77777777" w:rsidR="005C210A" w:rsidRPr="00A61232" w:rsidRDefault="005C210A" w:rsidP="00101F19">
      <w:pPr>
        <w:pStyle w:val="ListeParagraf"/>
        <w:snapToGrid w:val="0"/>
        <w:spacing w:before="120" w:after="12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</w:p>
    <w:p w14:paraId="77561102" w14:textId="77777777" w:rsidR="005C210A" w:rsidRPr="00A61232" w:rsidRDefault="005C210A" w:rsidP="00101F19">
      <w:pPr>
        <w:pStyle w:val="ListeParagraf"/>
        <w:snapToGrid w:val="0"/>
        <w:spacing w:before="120" w:after="12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</w:p>
    <w:p w14:paraId="524B49C7" w14:textId="77777777" w:rsidR="005C210A" w:rsidRPr="00A61232" w:rsidRDefault="005C210A" w:rsidP="00101F19">
      <w:pPr>
        <w:pStyle w:val="ListeParagraf"/>
        <w:snapToGrid w:val="0"/>
        <w:spacing w:before="120" w:after="12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</w:p>
    <w:p w14:paraId="0BF414D7" w14:textId="199E523F" w:rsidR="006D0487" w:rsidRPr="00A61232" w:rsidRDefault="006D0487" w:rsidP="00101F19">
      <w:pPr>
        <w:pStyle w:val="ListeParagraf"/>
        <w:snapToGrid w:val="0"/>
        <w:spacing w:before="120" w:after="12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</w:p>
    <w:p w14:paraId="7BC1BE12" w14:textId="5F58FDA3" w:rsidR="001C1807" w:rsidRPr="00A61232" w:rsidRDefault="00372197" w:rsidP="00EF788F">
      <w:pPr>
        <w:pStyle w:val="ListeParagraf"/>
        <w:numPr>
          <w:ilvl w:val="0"/>
          <w:numId w:val="17"/>
        </w:numPr>
        <w:snapToGrid w:val="0"/>
        <w:spacing w:before="120" w:after="120" w:line="276" w:lineRule="auto"/>
        <w:ind w:hanging="87"/>
        <w:contextualSpacing w:val="0"/>
        <w:jc w:val="both"/>
        <w:rPr>
          <w:rFonts w:ascii="Arial" w:hAnsi="Arial" w:cs="Arial"/>
          <w:bCs/>
          <w:color w:val="000000" w:themeColor="text1"/>
        </w:rPr>
      </w:pPr>
      <w:r w:rsidRPr="00A61232">
        <w:rPr>
          <w:rFonts w:ascii="Arial" w:hAnsi="Arial" w:cs="Arial"/>
          <w:bCs/>
          <w:color w:val="000000" w:themeColor="text1"/>
        </w:rPr>
        <w:t>Yargı denetimi dışında kalan idarî işlemlerden kişinin çalışma hayatını ve mesleki onurunu etkileyecek nitelikte olanlar</w:t>
      </w:r>
    </w:p>
    <w:p w14:paraId="7EDEB886" w14:textId="61F32E66" w:rsidR="00D87812" w:rsidRPr="00A61232" w:rsidRDefault="00372197" w:rsidP="00EF788F">
      <w:pPr>
        <w:pStyle w:val="ListeParagraf"/>
        <w:numPr>
          <w:ilvl w:val="0"/>
          <w:numId w:val="17"/>
        </w:numPr>
        <w:snapToGrid w:val="0"/>
        <w:spacing w:before="120" w:after="120" w:line="276" w:lineRule="auto"/>
        <w:ind w:hanging="87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>Açıklanması hâlinde Devletin emniyetine, dış ilişkilerine, millî savunmasına ve millî güvenliğine açıkça zarar verecek ve niteliği itibarıyla Devlet sırrı olan gizlilik dereceli bilgi veya belgeler</w:t>
      </w:r>
    </w:p>
    <w:p w14:paraId="06005AD8" w14:textId="0F295CCB" w:rsidR="00527D4C" w:rsidRPr="00A61232" w:rsidRDefault="001F1926" w:rsidP="00EF788F">
      <w:pPr>
        <w:pStyle w:val="ListeParagraf"/>
        <w:numPr>
          <w:ilvl w:val="0"/>
          <w:numId w:val="17"/>
        </w:numPr>
        <w:snapToGrid w:val="0"/>
        <w:spacing w:before="120" w:after="120" w:line="276" w:lineRule="auto"/>
        <w:ind w:hanging="87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>Açıklanması ya da zamanından önce açıklanması hâlinde, ülkenin ekonomik çıkarlarına zarar verecek veya haksız rekabet ve kazanca sebep olacak bilgi veya belgeler</w:t>
      </w:r>
    </w:p>
    <w:p w14:paraId="65856C60" w14:textId="47FE7FE2" w:rsidR="00D87812" w:rsidRPr="00A61232" w:rsidRDefault="001F1926" w:rsidP="00EF788F">
      <w:pPr>
        <w:pStyle w:val="ListeParagraf"/>
        <w:numPr>
          <w:ilvl w:val="0"/>
          <w:numId w:val="17"/>
        </w:numPr>
        <w:snapToGrid w:val="0"/>
        <w:spacing w:before="120" w:after="120" w:line="276" w:lineRule="auto"/>
        <w:ind w:hanging="87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>Sivil ve askerî istihbarat birimlerinin görev ve faaliyetlerine ilişkin bilgi veya belgeler</w:t>
      </w:r>
    </w:p>
    <w:p w14:paraId="054E4027" w14:textId="71E3AA03" w:rsidR="00D87812" w:rsidRPr="00A61232" w:rsidRDefault="00D87812" w:rsidP="00130C4F">
      <w:pPr>
        <w:pStyle w:val="ListeParagraf"/>
        <w:numPr>
          <w:ilvl w:val="0"/>
          <w:numId w:val="19"/>
        </w:numPr>
        <w:snapToGri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b/>
          <w:bCs/>
          <w:color w:val="000000" w:themeColor="text1"/>
        </w:rPr>
        <w:t xml:space="preserve">4982 Sayılı </w:t>
      </w:r>
      <w:r w:rsidR="002F1BEB" w:rsidRPr="00A61232">
        <w:rPr>
          <w:rFonts w:ascii="Arial" w:hAnsi="Arial" w:cs="Arial"/>
          <w:b/>
          <w:bCs/>
          <w:color w:val="000000" w:themeColor="text1"/>
        </w:rPr>
        <w:t>Bilgi Edinme Hakkı Kanunu’</w:t>
      </w:r>
      <w:r w:rsidRPr="00A61232">
        <w:rPr>
          <w:rFonts w:ascii="Arial" w:hAnsi="Arial" w:cs="Arial"/>
          <w:b/>
          <w:bCs/>
          <w:color w:val="000000" w:themeColor="text1"/>
        </w:rPr>
        <w:t xml:space="preserve">na göre </w:t>
      </w:r>
      <w:r w:rsidR="00372197" w:rsidRPr="00A61232">
        <w:rPr>
          <w:rFonts w:ascii="Arial" w:hAnsi="Arial" w:cs="Arial"/>
          <w:b/>
          <w:bCs/>
          <w:color w:val="000000" w:themeColor="text1"/>
        </w:rPr>
        <w:t>hangileri Kanun kapsamındaki bilgi ve belgeler arasında yer alır?</w:t>
      </w:r>
    </w:p>
    <w:p w14:paraId="25FFC786" w14:textId="23B89D1B" w:rsidR="00D87812" w:rsidRPr="00A61232" w:rsidRDefault="001F1926" w:rsidP="00101F19">
      <w:pPr>
        <w:pStyle w:val="ListeParagraf"/>
        <w:numPr>
          <w:ilvl w:val="0"/>
          <w:numId w:val="18"/>
        </w:numPr>
        <w:snapToGrid w:val="0"/>
        <w:spacing w:before="120" w:after="12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>Yalnız I</w:t>
      </w:r>
    </w:p>
    <w:p w14:paraId="609631B9" w14:textId="65C588EA" w:rsidR="00D87812" w:rsidRPr="00A61232" w:rsidRDefault="001F1926" w:rsidP="00101F19">
      <w:pPr>
        <w:pStyle w:val="ListeParagraf"/>
        <w:numPr>
          <w:ilvl w:val="0"/>
          <w:numId w:val="18"/>
        </w:numPr>
        <w:snapToGrid w:val="0"/>
        <w:spacing w:before="120" w:after="12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>I ve III</w:t>
      </w:r>
    </w:p>
    <w:p w14:paraId="7CFE826F" w14:textId="20BB053F" w:rsidR="00D87812" w:rsidRPr="00A61232" w:rsidRDefault="001F1926" w:rsidP="00101F19">
      <w:pPr>
        <w:pStyle w:val="ListeParagraf"/>
        <w:numPr>
          <w:ilvl w:val="0"/>
          <w:numId w:val="18"/>
        </w:numPr>
        <w:snapToGrid w:val="0"/>
        <w:spacing w:before="120" w:after="12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>II ve IV</w:t>
      </w:r>
    </w:p>
    <w:p w14:paraId="6D08BADB" w14:textId="2BA61540" w:rsidR="00035AE5" w:rsidRPr="00A61232" w:rsidRDefault="001F1926" w:rsidP="00101F19">
      <w:pPr>
        <w:pStyle w:val="ListeParagraf"/>
        <w:numPr>
          <w:ilvl w:val="0"/>
          <w:numId w:val="18"/>
        </w:numPr>
        <w:snapToGrid w:val="0"/>
        <w:spacing w:before="120" w:after="12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t>III ve IV</w:t>
      </w:r>
    </w:p>
    <w:p w14:paraId="46776A53" w14:textId="1E3D6CE2" w:rsidR="005555A5" w:rsidRPr="00A61232" w:rsidRDefault="005555A5">
      <w:pPr>
        <w:spacing w:after="0" w:line="240" w:lineRule="auto"/>
        <w:rPr>
          <w:rFonts w:ascii="Arial" w:hAnsi="Arial" w:cs="Arial"/>
          <w:color w:val="000000" w:themeColor="text1"/>
        </w:rPr>
      </w:pPr>
      <w:r w:rsidRPr="00A61232">
        <w:rPr>
          <w:rFonts w:ascii="Arial" w:hAnsi="Arial" w:cs="Arial"/>
          <w:color w:val="000000" w:themeColor="text1"/>
        </w:rPr>
        <w:br w:type="page"/>
      </w:r>
    </w:p>
    <w:p w14:paraId="3586E255" w14:textId="3376D497" w:rsidR="005555A5" w:rsidRPr="00A61232" w:rsidRDefault="005555A5" w:rsidP="005555A5">
      <w:pPr>
        <w:snapToGrid w:val="0"/>
        <w:spacing w:before="120" w:after="120"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A61232">
        <w:rPr>
          <w:rFonts w:ascii="Arial" w:hAnsi="Arial" w:cs="Arial"/>
          <w:b/>
          <w:bCs/>
          <w:color w:val="000000" w:themeColor="text1"/>
        </w:rPr>
        <w:lastRenderedPageBreak/>
        <w:t>CEVAP ANAHTARI</w:t>
      </w:r>
    </w:p>
    <w:p w14:paraId="0936AD01" w14:textId="77777777" w:rsidR="005555A5" w:rsidRPr="00A61232" w:rsidRDefault="005555A5" w:rsidP="005555A5">
      <w:pPr>
        <w:snapToGrid w:val="0"/>
        <w:spacing w:before="120" w:after="120"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2"/>
        <w:gridCol w:w="986"/>
      </w:tblGrid>
      <w:tr w:rsidR="00A61232" w:rsidRPr="00A61232" w14:paraId="0517EB3F" w14:textId="77777777" w:rsidTr="006C4BC2">
        <w:tc>
          <w:tcPr>
            <w:tcW w:w="852" w:type="dxa"/>
          </w:tcPr>
          <w:p w14:paraId="7B45ADAC" w14:textId="1EDAB827" w:rsidR="005555A5" w:rsidRPr="00A61232" w:rsidRDefault="005555A5" w:rsidP="005555A5">
            <w:p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61232">
              <w:rPr>
                <w:rFonts w:ascii="Arial" w:hAnsi="Arial" w:cs="Arial"/>
                <w:b/>
                <w:bCs/>
                <w:color w:val="000000" w:themeColor="text1"/>
              </w:rPr>
              <w:t>SORU</w:t>
            </w:r>
          </w:p>
        </w:tc>
        <w:tc>
          <w:tcPr>
            <w:tcW w:w="986" w:type="dxa"/>
          </w:tcPr>
          <w:p w14:paraId="3B249293" w14:textId="78BE17DD" w:rsidR="005555A5" w:rsidRPr="00A61232" w:rsidRDefault="005555A5" w:rsidP="005555A5">
            <w:p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61232">
              <w:rPr>
                <w:rFonts w:ascii="Arial" w:hAnsi="Arial" w:cs="Arial"/>
                <w:b/>
                <w:bCs/>
                <w:color w:val="000000" w:themeColor="text1"/>
              </w:rPr>
              <w:t>CEVAP</w:t>
            </w:r>
          </w:p>
        </w:tc>
      </w:tr>
      <w:tr w:rsidR="00A61232" w:rsidRPr="00A61232" w14:paraId="6B8743CF" w14:textId="77777777" w:rsidTr="006C4BC2">
        <w:tc>
          <w:tcPr>
            <w:tcW w:w="852" w:type="dxa"/>
          </w:tcPr>
          <w:p w14:paraId="01A87B33" w14:textId="627946D6" w:rsidR="005555A5" w:rsidRPr="00A61232" w:rsidRDefault="005555A5" w:rsidP="005555A5">
            <w:p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61232">
              <w:rPr>
                <w:rFonts w:ascii="Arial" w:hAnsi="Arial" w:cs="Arial"/>
                <w:b/>
                <w:bCs/>
                <w:color w:val="000000" w:themeColor="text1"/>
              </w:rPr>
              <w:t>1-</w:t>
            </w:r>
          </w:p>
        </w:tc>
        <w:tc>
          <w:tcPr>
            <w:tcW w:w="986" w:type="dxa"/>
          </w:tcPr>
          <w:p w14:paraId="378B068E" w14:textId="341EC04D" w:rsidR="005555A5" w:rsidRPr="00A61232" w:rsidRDefault="006C4BC2" w:rsidP="005555A5">
            <w:p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A61232">
              <w:rPr>
                <w:rFonts w:ascii="Arial" w:hAnsi="Arial" w:cs="Arial"/>
                <w:color w:val="000000" w:themeColor="text1"/>
              </w:rPr>
              <w:t>A</w:t>
            </w:r>
          </w:p>
        </w:tc>
      </w:tr>
      <w:tr w:rsidR="00A61232" w:rsidRPr="00A61232" w14:paraId="2196AA93" w14:textId="77777777" w:rsidTr="006C4BC2">
        <w:tc>
          <w:tcPr>
            <w:tcW w:w="852" w:type="dxa"/>
          </w:tcPr>
          <w:p w14:paraId="3F4159C8" w14:textId="36D69E07" w:rsidR="005555A5" w:rsidRPr="00A61232" w:rsidRDefault="005555A5" w:rsidP="005555A5">
            <w:p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61232">
              <w:rPr>
                <w:rFonts w:ascii="Arial" w:hAnsi="Arial" w:cs="Arial"/>
                <w:b/>
                <w:bCs/>
                <w:color w:val="000000" w:themeColor="text1"/>
              </w:rPr>
              <w:t>2-</w:t>
            </w:r>
          </w:p>
        </w:tc>
        <w:tc>
          <w:tcPr>
            <w:tcW w:w="986" w:type="dxa"/>
          </w:tcPr>
          <w:p w14:paraId="491E119E" w14:textId="1AC40D56" w:rsidR="005555A5" w:rsidRPr="00A61232" w:rsidRDefault="006C4BC2" w:rsidP="005555A5">
            <w:p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A61232">
              <w:rPr>
                <w:rFonts w:ascii="Arial" w:hAnsi="Arial" w:cs="Arial"/>
                <w:color w:val="000000" w:themeColor="text1"/>
              </w:rPr>
              <w:t>C</w:t>
            </w:r>
          </w:p>
        </w:tc>
      </w:tr>
      <w:tr w:rsidR="00A61232" w:rsidRPr="00A61232" w14:paraId="7BC0FEA2" w14:textId="77777777" w:rsidTr="006C4BC2">
        <w:tc>
          <w:tcPr>
            <w:tcW w:w="852" w:type="dxa"/>
          </w:tcPr>
          <w:p w14:paraId="2C1A8A84" w14:textId="1362229D" w:rsidR="005555A5" w:rsidRPr="00A61232" w:rsidRDefault="005555A5" w:rsidP="005555A5">
            <w:p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61232">
              <w:rPr>
                <w:rFonts w:ascii="Arial" w:hAnsi="Arial" w:cs="Arial"/>
                <w:b/>
                <w:bCs/>
                <w:color w:val="000000" w:themeColor="text1"/>
              </w:rPr>
              <w:t>3-</w:t>
            </w:r>
          </w:p>
        </w:tc>
        <w:tc>
          <w:tcPr>
            <w:tcW w:w="986" w:type="dxa"/>
          </w:tcPr>
          <w:p w14:paraId="1140BDE0" w14:textId="6E405B08" w:rsidR="005555A5" w:rsidRPr="00A61232" w:rsidRDefault="006C4BC2" w:rsidP="005555A5">
            <w:p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A61232">
              <w:rPr>
                <w:rFonts w:ascii="Arial" w:hAnsi="Arial" w:cs="Arial"/>
                <w:color w:val="000000" w:themeColor="text1"/>
              </w:rPr>
              <w:t>A</w:t>
            </w:r>
          </w:p>
        </w:tc>
      </w:tr>
      <w:tr w:rsidR="00A61232" w:rsidRPr="00A61232" w14:paraId="20385E48" w14:textId="77777777" w:rsidTr="006C4BC2">
        <w:tc>
          <w:tcPr>
            <w:tcW w:w="852" w:type="dxa"/>
          </w:tcPr>
          <w:p w14:paraId="35F578E6" w14:textId="083FD1D9" w:rsidR="005555A5" w:rsidRPr="00A61232" w:rsidRDefault="005555A5" w:rsidP="005555A5">
            <w:p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61232">
              <w:rPr>
                <w:rFonts w:ascii="Arial" w:hAnsi="Arial" w:cs="Arial"/>
                <w:b/>
                <w:bCs/>
                <w:color w:val="000000" w:themeColor="text1"/>
              </w:rPr>
              <w:t>4-</w:t>
            </w:r>
          </w:p>
        </w:tc>
        <w:tc>
          <w:tcPr>
            <w:tcW w:w="986" w:type="dxa"/>
          </w:tcPr>
          <w:p w14:paraId="252BE68C" w14:textId="35F123FD" w:rsidR="005555A5" w:rsidRPr="00A61232" w:rsidRDefault="006C4BC2" w:rsidP="005555A5">
            <w:p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A61232">
              <w:rPr>
                <w:rFonts w:ascii="Arial" w:hAnsi="Arial" w:cs="Arial"/>
                <w:color w:val="000000" w:themeColor="text1"/>
              </w:rPr>
              <w:t>B</w:t>
            </w:r>
          </w:p>
        </w:tc>
      </w:tr>
      <w:tr w:rsidR="00A61232" w:rsidRPr="00A61232" w14:paraId="7F558521" w14:textId="77777777" w:rsidTr="006C4BC2">
        <w:tc>
          <w:tcPr>
            <w:tcW w:w="852" w:type="dxa"/>
          </w:tcPr>
          <w:p w14:paraId="2D85A655" w14:textId="54B6EA1A" w:rsidR="005555A5" w:rsidRPr="00A61232" w:rsidRDefault="005555A5" w:rsidP="005555A5">
            <w:p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61232">
              <w:rPr>
                <w:rFonts w:ascii="Arial" w:hAnsi="Arial" w:cs="Arial"/>
                <w:b/>
                <w:bCs/>
                <w:color w:val="000000" w:themeColor="text1"/>
              </w:rPr>
              <w:t>5-</w:t>
            </w:r>
          </w:p>
        </w:tc>
        <w:tc>
          <w:tcPr>
            <w:tcW w:w="986" w:type="dxa"/>
          </w:tcPr>
          <w:p w14:paraId="7B4ACADD" w14:textId="7EFE71E7" w:rsidR="005555A5" w:rsidRPr="00A61232" w:rsidRDefault="006C4BC2" w:rsidP="005555A5">
            <w:p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A61232">
              <w:rPr>
                <w:rFonts w:ascii="Arial" w:hAnsi="Arial" w:cs="Arial"/>
                <w:color w:val="000000" w:themeColor="text1"/>
              </w:rPr>
              <w:t>D</w:t>
            </w:r>
          </w:p>
        </w:tc>
      </w:tr>
      <w:tr w:rsidR="00A61232" w:rsidRPr="00A61232" w14:paraId="1D061C60" w14:textId="77777777" w:rsidTr="006C4BC2">
        <w:tc>
          <w:tcPr>
            <w:tcW w:w="852" w:type="dxa"/>
          </w:tcPr>
          <w:p w14:paraId="0EE14524" w14:textId="57BEFB2E" w:rsidR="005555A5" w:rsidRPr="00A61232" w:rsidRDefault="005555A5" w:rsidP="005555A5">
            <w:p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61232">
              <w:rPr>
                <w:rFonts w:ascii="Arial" w:hAnsi="Arial" w:cs="Arial"/>
                <w:b/>
                <w:bCs/>
                <w:color w:val="000000" w:themeColor="text1"/>
              </w:rPr>
              <w:t>6-</w:t>
            </w:r>
          </w:p>
        </w:tc>
        <w:tc>
          <w:tcPr>
            <w:tcW w:w="986" w:type="dxa"/>
          </w:tcPr>
          <w:p w14:paraId="73263D2F" w14:textId="481EA96D" w:rsidR="005555A5" w:rsidRPr="00A61232" w:rsidRDefault="006C4BC2" w:rsidP="005555A5">
            <w:p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A61232">
              <w:rPr>
                <w:rFonts w:ascii="Arial" w:hAnsi="Arial" w:cs="Arial"/>
                <w:color w:val="000000" w:themeColor="text1"/>
              </w:rPr>
              <w:t>B</w:t>
            </w:r>
          </w:p>
        </w:tc>
      </w:tr>
      <w:tr w:rsidR="00A61232" w:rsidRPr="00A61232" w14:paraId="0E90C84F" w14:textId="77777777" w:rsidTr="006C4BC2">
        <w:tc>
          <w:tcPr>
            <w:tcW w:w="852" w:type="dxa"/>
          </w:tcPr>
          <w:p w14:paraId="0E7B62B9" w14:textId="070B4E14" w:rsidR="005555A5" w:rsidRPr="00A61232" w:rsidRDefault="005555A5" w:rsidP="005555A5">
            <w:p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61232">
              <w:rPr>
                <w:rFonts w:ascii="Arial" w:hAnsi="Arial" w:cs="Arial"/>
                <w:b/>
                <w:bCs/>
                <w:color w:val="000000" w:themeColor="text1"/>
              </w:rPr>
              <w:t>7-</w:t>
            </w:r>
          </w:p>
        </w:tc>
        <w:tc>
          <w:tcPr>
            <w:tcW w:w="986" w:type="dxa"/>
          </w:tcPr>
          <w:p w14:paraId="2E871080" w14:textId="5B5696D5" w:rsidR="005555A5" w:rsidRPr="00A61232" w:rsidRDefault="006C4BC2" w:rsidP="005555A5">
            <w:p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A61232">
              <w:rPr>
                <w:rFonts w:ascii="Arial" w:hAnsi="Arial" w:cs="Arial"/>
                <w:color w:val="000000" w:themeColor="text1"/>
              </w:rPr>
              <w:t>B</w:t>
            </w:r>
          </w:p>
        </w:tc>
      </w:tr>
      <w:tr w:rsidR="00A61232" w:rsidRPr="00A61232" w14:paraId="69EF61E8" w14:textId="77777777" w:rsidTr="006C4BC2">
        <w:tc>
          <w:tcPr>
            <w:tcW w:w="852" w:type="dxa"/>
          </w:tcPr>
          <w:p w14:paraId="63612EF4" w14:textId="3DCD4636" w:rsidR="005555A5" w:rsidRPr="00A61232" w:rsidRDefault="005555A5" w:rsidP="005555A5">
            <w:p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61232">
              <w:rPr>
                <w:rFonts w:ascii="Arial" w:hAnsi="Arial" w:cs="Arial"/>
                <w:b/>
                <w:bCs/>
                <w:color w:val="000000" w:themeColor="text1"/>
              </w:rPr>
              <w:t>8-</w:t>
            </w:r>
          </w:p>
        </w:tc>
        <w:tc>
          <w:tcPr>
            <w:tcW w:w="986" w:type="dxa"/>
          </w:tcPr>
          <w:p w14:paraId="22531F95" w14:textId="23E55A39" w:rsidR="005555A5" w:rsidRPr="00A61232" w:rsidRDefault="006C4BC2" w:rsidP="005555A5">
            <w:p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A61232">
              <w:rPr>
                <w:rFonts w:ascii="Arial" w:hAnsi="Arial" w:cs="Arial"/>
                <w:color w:val="000000" w:themeColor="text1"/>
              </w:rPr>
              <w:t>D</w:t>
            </w:r>
          </w:p>
        </w:tc>
      </w:tr>
      <w:tr w:rsidR="00A61232" w:rsidRPr="00A61232" w14:paraId="1D9937B1" w14:textId="77777777" w:rsidTr="006C4BC2">
        <w:tc>
          <w:tcPr>
            <w:tcW w:w="852" w:type="dxa"/>
          </w:tcPr>
          <w:p w14:paraId="1F8BE5C3" w14:textId="070DF71A" w:rsidR="005555A5" w:rsidRPr="00A61232" w:rsidRDefault="005555A5" w:rsidP="005555A5">
            <w:p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61232">
              <w:rPr>
                <w:rFonts w:ascii="Arial" w:hAnsi="Arial" w:cs="Arial"/>
                <w:b/>
                <w:bCs/>
                <w:color w:val="000000" w:themeColor="text1"/>
              </w:rPr>
              <w:t>9-</w:t>
            </w:r>
          </w:p>
        </w:tc>
        <w:tc>
          <w:tcPr>
            <w:tcW w:w="986" w:type="dxa"/>
          </w:tcPr>
          <w:p w14:paraId="54FA3391" w14:textId="30C30550" w:rsidR="005555A5" w:rsidRPr="00A61232" w:rsidRDefault="006C4BC2" w:rsidP="005555A5">
            <w:p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A61232">
              <w:rPr>
                <w:rFonts w:ascii="Arial" w:hAnsi="Arial" w:cs="Arial"/>
                <w:color w:val="000000" w:themeColor="text1"/>
              </w:rPr>
              <w:t>A</w:t>
            </w:r>
          </w:p>
        </w:tc>
      </w:tr>
      <w:tr w:rsidR="00A61232" w:rsidRPr="00A61232" w14:paraId="3D8BB16B" w14:textId="77777777" w:rsidTr="006C4BC2">
        <w:tc>
          <w:tcPr>
            <w:tcW w:w="852" w:type="dxa"/>
          </w:tcPr>
          <w:p w14:paraId="19FA3800" w14:textId="46355516" w:rsidR="005555A5" w:rsidRPr="00A61232" w:rsidRDefault="005555A5" w:rsidP="005555A5">
            <w:p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61232">
              <w:rPr>
                <w:rFonts w:ascii="Arial" w:hAnsi="Arial" w:cs="Arial"/>
                <w:b/>
                <w:bCs/>
                <w:color w:val="000000" w:themeColor="text1"/>
              </w:rPr>
              <w:t>10-</w:t>
            </w:r>
          </w:p>
        </w:tc>
        <w:tc>
          <w:tcPr>
            <w:tcW w:w="986" w:type="dxa"/>
          </w:tcPr>
          <w:p w14:paraId="2F432268" w14:textId="44AFA847" w:rsidR="005555A5" w:rsidRPr="00A61232" w:rsidRDefault="006C4BC2" w:rsidP="005555A5">
            <w:p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A61232">
              <w:rPr>
                <w:rFonts w:ascii="Arial" w:hAnsi="Arial" w:cs="Arial"/>
                <w:color w:val="000000" w:themeColor="text1"/>
              </w:rPr>
              <w:t>B</w:t>
            </w:r>
          </w:p>
        </w:tc>
      </w:tr>
      <w:tr w:rsidR="00A61232" w:rsidRPr="00A61232" w14:paraId="38303236" w14:textId="77777777" w:rsidTr="006C4BC2">
        <w:tc>
          <w:tcPr>
            <w:tcW w:w="852" w:type="dxa"/>
          </w:tcPr>
          <w:p w14:paraId="33223435" w14:textId="1FF64803" w:rsidR="005555A5" w:rsidRPr="00A61232" w:rsidRDefault="005555A5" w:rsidP="005555A5">
            <w:p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61232">
              <w:rPr>
                <w:rFonts w:ascii="Arial" w:hAnsi="Arial" w:cs="Arial"/>
                <w:b/>
                <w:bCs/>
                <w:color w:val="000000" w:themeColor="text1"/>
              </w:rPr>
              <w:t>11-</w:t>
            </w:r>
          </w:p>
        </w:tc>
        <w:tc>
          <w:tcPr>
            <w:tcW w:w="986" w:type="dxa"/>
          </w:tcPr>
          <w:p w14:paraId="4239A308" w14:textId="21D779F2" w:rsidR="005555A5" w:rsidRPr="00A61232" w:rsidRDefault="006C4BC2" w:rsidP="005555A5">
            <w:p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A61232">
              <w:rPr>
                <w:rFonts w:ascii="Arial" w:hAnsi="Arial" w:cs="Arial"/>
                <w:color w:val="000000" w:themeColor="text1"/>
              </w:rPr>
              <w:t>C</w:t>
            </w:r>
          </w:p>
        </w:tc>
      </w:tr>
      <w:tr w:rsidR="00A61232" w:rsidRPr="00A61232" w14:paraId="6AB776E2" w14:textId="77777777" w:rsidTr="006C4BC2">
        <w:tc>
          <w:tcPr>
            <w:tcW w:w="852" w:type="dxa"/>
          </w:tcPr>
          <w:p w14:paraId="2C032653" w14:textId="6869051E" w:rsidR="005555A5" w:rsidRPr="00A61232" w:rsidRDefault="005555A5" w:rsidP="005555A5">
            <w:p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61232">
              <w:rPr>
                <w:rFonts w:ascii="Arial" w:hAnsi="Arial" w:cs="Arial"/>
                <w:b/>
                <w:bCs/>
                <w:color w:val="000000" w:themeColor="text1"/>
              </w:rPr>
              <w:t>12-</w:t>
            </w:r>
          </w:p>
        </w:tc>
        <w:tc>
          <w:tcPr>
            <w:tcW w:w="986" w:type="dxa"/>
          </w:tcPr>
          <w:p w14:paraId="0FE1F66D" w14:textId="626DFDB2" w:rsidR="005555A5" w:rsidRPr="00A61232" w:rsidRDefault="006C4BC2" w:rsidP="005555A5">
            <w:p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A61232">
              <w:rPr>
                <w:rFonts w:ascii="Arial" w:hAnsi="Arial" w:cs="Arial"/>
                <w:color w:val="000000" w:themeColor="text1"/>
              </w:rPr>
              <w:t>D</w:t>
            </w:r>
          </w:p>
        </w:tc>
      </w:tr>
      <w:tr w:rsidR="00A61232" w:rsidRPr="00A61232" w14:paraId="44D831C1" w14:textId="77777777" w:rsidTr="006C4BC2">
        <w:tc>
          <w:tcPr>
            <w:tcW w:w="852" w:type="dxa"/>
          </w:tcPr>
          <w:p w14:paraId="1B589A4A" w14:textId="7CDA93E7" w:rsidR="005555A5" w:rsidRPr="00A61232" w:rsidRDefault="005555A5" w:rsidP="005555A5">
            <w:p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61232">
              <w:rPr>
                <w:rFonts w:ascii="Arial" w:hAnsi="Arial" w:cs="Arial"/>
                <w:b/>
                <w:bCs/>
                <w:color w:val="000000" w:themeColor="text1"/>
              </w:rPr>
              <w:t>13-</w:t>
            </w:r>
          </w:p>
        </w:tc>
        <w:tc>
          <w:tcPr>
            <w:tcW w:w="986" w:type="dxa"/>
          </w:tcPr>
          <w:p w14:paraId="3123C8B9" w14:textId="30AA8C20" w:rsidR="005555A5" w:rsidRPr="00A61232" w:rsidRDefault="006C4BC2" w:rsidP="005555A5">
            <w:p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A61232">
              <w:rPr>
                <w:rFonts w:ascii="Arial" w:hAnsi="Arial" w:cs="Arial"/>
                <w:color w:val="000000" w:themeColor="text1"/>
              </w:rPr>
              <w:t>A</w:t>
            </w:r>
          </w:p>
        </w:tc>
      </w:tr>
      <w:tr w:rsidR="00A61232" w:rsidRPr="00A61232" w14:paraId="3E74E9B1" w14:textId="77777777" w:rsidTr="006C4BC2">
        <w:tc>
          <w:tcPr>
            <w:tcW w:w="852" w:type="dxa"/>
          </w:tcPr>
          <w:p w14:paraId="34F99D12" w14:textId="38505506" w:rsidR="005555A5" w:rsidRPr="00A61232" w:rsidRDefault="005555A5" w:rsidP="005555A5">
            <w:p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61232">
              <w:rPr>
                <w:rFonts w:ascii="Arial" w:hAnsi="Arial" w:cs="Arial"/>
                <w:b/>
                <w:bCs/>
                <w:color w:val="000000" w:themeColor="text1"/>
              </w:rPr>
              <w:t>14-</w:t>
            </w:r>
          </w:p>
        </w:tc>
        <w:tc>
          <w:tcPr>
            <w:tcW w:w="986" w:type="dxa"/>
          </w:tcPr>
          <w:p w14:paraId="670B7ADA" w14:textId="19CE8823" w:rsidR="005555A5" w:rsidRPr="00A61232" w:rsidRDefault="006C4BC2" w:rsidP="005555A5">
            <w:p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A61232">
              <w:rPr>
                <w:rFonts w:ascii="Arial" w:hAnsi="Arial" w:cs="Arial"/>
                <w:color w:val="000000" w:themeColor="text1"/>
              </w:rPr>
              <w:t>B</w:t>
            </w:r>
          </w:p>
        </w:tc>
      </w:tr>
      <w:tr w:rsidR="00A61232" w:rsidRPr="00A61232" w14:paraId="34197944" w14:textId="77777777" w:rsidTr="006C4BC2">
        <w:tc>
          <w:tcPr>
            <w:tcW w:w="852" w:type="dxa"/>
          </w:tcPr>
          <w:p w14:paraId="263605BE" w14:textId="336B595F" w:rsidR="005555A5" w:rsidRPr="00A61232" w:rsidRDefault="005555A5" w:rsidP="005555A5">
            <w:p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61232">
              <w:rPr>
                <w:rFonts w:ascii="Arial" w:hAnsi="Arial" w:cs="Arial"/>
                <w:b/>
                <w:bCs/>
                <w:color w:val="000000" w:themeColor="text1"/>
              </w:rPr>
              <w:t>15-</w:t>
            </w:r>
          </w:p>
        </w:tc>
        <w:tc>
          <w:tcPr>
            <w:tcW w:w="986" w:type="dxa"/>
          </w:tcPr>
          <w:p w14:paraId="018706B8" w14:textId="23495865" w:rsidR="005555A5" w:rsidRPr="00A61232" w:rsidRDefault="006C4BC2" w:rsidP="005555A5">
            <w:p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A61232">
              <w:rPr>
                <w:rFonts w:ascii="Arial" w:hAnsi="Arial" w:cs="Arial"/>
                <w:color w:val="000000" w:themeColor="text1"/>
              </w:rPr>
              <w:t>A</w:t>
            </w:r>
          </w:p>
        </w:tc>
      </w:tr>
    </w:tbl>
    <w:p w14:paraId="04C8A75E" w14:textId="1F1994BA" w:rsidR="005555A5" w:rsidRPr="00A61232" w:rsidRDefault="005555A5" w:rsidP="005555A5">
      <w:pPr>
        <w:snapToGrid w:val="0"/>
        <w:spacing w:before="120" w:after="120"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sectPr w:rsidR="005555A5" w:rsidRPr="00A61232" w:rsidSect="00EF788F">
      <w:type w:val="continuous"/>
      <w:pgSz w:w="11906" w:h="16838"/>
      <w:pgMar w:top="2694" w:right="707" w:bottom="1417" w:left="993" w:header="708" w:footer="708" w:gutter="0"/>
      <w:cols w:num="2" w:space="9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37E9" w14:textId="77777777" w:rsidR="00FD5D22" w:rsidRDefault="00FD5D22">
      <w:pPr>
        <w:spacing w:after="0" w:line="240" w:lineRule="auto"/>
      </w:pPr>
      <w:r>
        <w:separator/>
      </w:r>
    </w:p>
  </w:endnote>
  <w:endnote w:type="continuationSeparator" w:id="0">
    <w:p w14:paraId="27D10A2B" w14:textId="77777777" w:rsidR="00FD5D22" w:rsidRDefault="00FD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1A89" w14:textId="77777777" w:rsidR="00FD5D22" w:rsidRDefault="00FD5D22">
      <w:pPr>
        <w:spacing w:after="0" w:line="240" w:lineRule="auto"/>
      </w:pPr>
      <w:r>
        <w:separator/>
      </w:r>
    </w:p>
  </w:footnote>
  <w:footnote w:type="continuationSeparator" w:id="0">
    <w:p w14:paraId="77F41B9D" w14:textId="77777777" w:rsidR="00FD5D22" w:rsidRDefault="00FD5D22">
      <w:pPr>
        <w:spacing w:after="0" w:line="240" w:lineRule="auto"/>
      </w:pPr>
      <w:r>
        <w:continuationSeparator/>
      </w:r>
    </w:p>
  </w:footnote>
  <w:footnote w:id="1">
    <w:p w14:paraId="4209BC17" w14:textId="5400A4AA" w:rsidR="0055588D" w:rsidRDefault="0055588D" w:rsidP="006D0487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 w:rsidRPr="00F76A58">
        <w:rPr>
          <w:b/>
          <w:bCs/>
          <w:i/>
          <w:iCs/>
        </w:rPr>
        <w:t>Soruların Tüm Hakları Saklı Olup, Diyanet-Sen Akademisine Aittir. İzinsiz Kesinlikle Çoğaltılamaz. Sorular, doğrudan mevzuat ve kamu kurum kuruluşları</w:t>
      </w:r>
      <w:r>
        <w:rPr>
          <w:b/>
          <w:bCs/>
          <w:i/>
          <w:iCs/>
        </w:rPr>
        <w:t>nın</w:t>
      </w:r>
      <w:r w:rsidRPr="00F76A58">
        <w:rPr>
          <w:b/>
          <w:bCs/>
          <w:i/>
          <w:iCs/>
        </w:rPr>
        <w:t xml:space="preserve"> sınav örneklerinden yararlanılarak örnek olması amacıyla hazırlanmıştır. Sorular ad</w:t>
      </w:r>
      <w:r>
        <w:rPr>
          <w:b/>
          <w:bCs/>
          <w:i/>
          <w:iCs/>
        </w:rPr>
        <w:t>ay</w:t>
      </w:r>
      <w:r w:rsidRPr="00F76A58">
        <w:rPr>
          <w:b/>
          <w:bCs/>
          <w:i/>
          <w:iCs/>
        </w:rPr>
        <w:t>lara yol göstermesi amacıyla hazırlanmıştır. Kırmızı renk olan seçenekler</w:t>
      </w:r>
      <w:r>
        <w:rPr>
          <w:b/>
          <w:bCs/>
          <w:i/>
          <w:iCs/>
        </w:rPr>
        <w:t>,</w:t>
      </w:r>
      <w:r w:rsidRPr="00F76A58">
        <w:rPr>
          <w:b/>
          <w:bCs/>
          <w:i/>
          <w:iCs/>
        </w:rPr>
        <w:t xml:space="preserve"> doğru cevap seçeneğidir.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E959" w14:textId="77777777" w:rsidR="003A6EF5" w:rsidRDefault="003B4DBD" w:rsidP="00E9584C">
    <w:pPr>
      <w:pStyle w:val="stBilgi"/>
      <w:ind w:left="-567"/>
    </w:pPr>
    <w:r>
      <w:rPr>
        <w:noProof/>
        <w:lang w:eastAsia="tr-TR"/>
      </w:rPr>
      <w:drawing>
        <wp:inline distT="0" distB="0" distL="0" distR="0" wp14:anchorId="1973830C" wp14:editId="7F771017">
          <wp:extent cx="6452801" cy="790575"/>
          <wp:effectExtent l="0" t="0" r="5715" b="0"/>
          <wp:docPr id="878703340" name="Resim 878703340" descr="C:\Users\CASPER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SPER\Download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1724" cy="795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DEC"/>
    <w:multiLevelType w:val="hybridMultilevel"/>
    <w:tmpl w:val="6B3A0096"/>
    <w:lvl w:ilvl="0" w:tplc="E78A4F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3484"/>
    <w:multiLevelType w:val="hybridMultilevel"/>
    <w:tmpl w:val="B9101E02"/>
    <w:lvl w:ilvl="0" w:tplc="E78A4FB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F4CF4"/>
    <w:multiLevelType w:val="hybridMultilevel"/>
    <w:tmpl w:val="6B3A0096"/>
    <w:lvl w:ilvl="0" w:tplc="E78A4F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827A8"/>
    <w:multiLevelType w:val="hybridMultilevel"/>
    <w:tmpl w:val="6B3A0096"/>
    <w:lvl w:ilvl="0" w:tplc="E78A4F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53E23"/>
    <w:multiLevelType w:val="hybridMultilevel"/>
    <w:tmpl w:val="6B3A0096"/>
    <w:lvl w:ilvl="0" w:tplc="E78A4F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61FC"/>
    <w:multiLevelType w:val="hybridMultilevel"/>
    <w:tmpl w:val="6B3A0096"/>
    <w:lvl w:ilvl="0" w:tplc="E78A4F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06AC4"/>
    <w:multiLevelType w:val="hybridMultilevel"/>
    <w:tmpl w:val="1B46A62E"/>
    <w:lvl w:ilvl="0" w:tplc="A2DC6ED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51CD9"/>
    <w:multiLevelType w:val="hybridMultilevel"/>
    <w:tmpl w:val="DC0C57CA"/>
    <w:lvl w:ilvl="0" w:tplc="041F0013">
      <w:start w:val="1"/>
      <w:numFmt w:val="upperRoman"/>
      <w:lvlText w:val="%1."/>
      <w:lvlJc w:val="righ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7D6E24"/>
    <w:multiLevelType w:val="hybridMultilevel"/>
    <w:tmpl w:val="6B3A0096"/>
    <w:lvl w:ilvl="0" w:tplc="E78A4F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B758B"/>
    <w:multiLevelType w:val="hybridMultilevel"/>
    <w:tmpl w:val="6B3A0096"/>
    <w:lvl w:ilvl="0" w:tplc="E78A4F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D2B68"/>
    <w:multiLevelType w:val="hybridMultilevel"/>
    <w:tmpl w:val="6B3A0096"/>
    <w:lvl w:ilvl="0" w:tplc="E78A4F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56B73"/>
    <w:multiLevelType w:val="hybridMultilevel"/>
    <w:tmpl w:val="6B3A0096"/>
    <w:lvl w:ilvl="0" w:tplc="E78A4F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925E8"/>
    <w:multiLevelType w:val="hybridMultilevel"/>
    <w:tmpl w:val="6B3A0096"/>
    <w:lvl w:ilvl="0" w:tplc="E78A4F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72217"/>
    <w:multiLevelType w:val="hybridMultilevel"/>
    <w:tmpl w:val="6B3A0096"/>
    <w:lvl w:ilvl="0" w:tplc="E78A4F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C3767"/>
    <w:multiLevelType w:val="hybridMultilevel"/>
    <w:tmpl w:val="6B3A0096"/>
    <w:lvl w:ilvl="0" w:tplc="E78A4F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C063C"/>
    <w:multiLevelType w:val="hybridMultilevel"/>
    <w:tmpl w:val="6B3A0096"/>
    <w:lvl w:ilvl="0" w:tplc="E78A4F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D7717"/>
    <w:multiLevelType w:val="hybridMultilevel"/>
    <w:tmpl w:val="6B3A0096"/>
    <w:lvl w:ilvl="0" w:tplc="E78A4F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5407D"/>
    <w:multiLevelType w:val="hybridMultilevel"/>
    <w:tmpl w:val="9ED26028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87A3A"/>
    <w:multiLevelType w:val="hybridMultilevel"/>
    <w:tmpl w:val="6B3A0096"/>
    <w:lvl w:ilvl="0" w:tplc="E78A4F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841665">
    <w:abstractNumId w:val="8"/>
  </w:num>
  <w:num w:numId="2" w16cid:durableId="1443301249">
    <w:abstractNumId w:val="17"/>
  </w:num>
  <w:num w:numId="3" w16cid:durableId="814567426">
    <w:abstractNumId w:val="10"/>
  </w:num>
  <w:num w:numId="4" w16cid:durableId="1784574703">
    <w:abstractNumId w:val="0"/>
  </w:num>
  <w:num w:numId="5" w16cid:durableId="1327829289">
    <w:abstractNumId w:val="15"/>
  </w:num>
  <w:num w:numId="6" w16cid:durableId="1598712208">
    <w:abstractNumId w:val="3"/>
  </w:num>
  <w:num w:numId="7" w16cid:durableId="1345204656">
    <w:abstractNumId w:val="18"/>
  </w:num>
  <w:num w:numId="8" w16cid:durableId="1648241666">
    <w:abstractNumId w:val="2"/>
  </w:num>
  <w:num w:numId="9" w16cid:durableId="1680767701">
    <w:abstractNumId w:val="16"/>
  </w:num>
  <w:num w:numId="10" w16cid:durableId="774860767">
    <w:abstractNumId w:val="13"/>
  </w:num>
  <w:num w:numId="11" w16cid:durableId="632103877">
    <w:abstractNumId w:val="5"/>
  </w:num>
  <w:num w:numId="12" w16cid:durableId="297342436">
    <w:abstractNumId w:val="11"/>
  </w:num>
  <w:num w:numId="13" w16cid:durableId="1483693118">
    <w:abstractNumId w:val="9"/>
  </w:num>
  <w:num w:numId="14" w16cid:durableId="538737661">
    <w:abstractNumId w:val="14"/>
  </w:num>
  <w:num w:numId="15" w16cid:durableId="1672684851">
    <w:abstractNumId w:val="4"/>
  </w:num>
  <w:num w:numId="16" w16cid:durableId="1411657512">
    <w:abstractNumId w:val="12"/>
  </w:num>
  <w:num w:numId="17" w16cid:durableId="1865244758">
    <w:abstractNumId w:val="7"/>
  </w:num>
  <w:num w:numId="18" w16cid:durableId="1883900252">
    <w:abstractNumId w:val="1"/>
  </w:num>
  <w:num w:numId="19" w16cid:durableId="469204343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922"/>
    <w:rsid w:val="00023637"/>
    <w:rsid w:val="00035AE5"/>
    <w:rsid w:val="00082D09"/>
    <w:rsid w:val="000B339D"/>
    <w:rsid w:val="000E5AB7"/>
    <w:rsid w:val="00101F19"/>
    <w:rsid w:val="00130C4F"/>
    <w:rsid w:val="001A6761"/>
    <w:rsid w:val="001B64C4"/>
    <w:rsid w:val="001C1807"/>
    <w:rsid w:val="001F1926"/>
    <w:rsid w:val="0022046A"/>
    <w:rsid w:val="002461CE"/>
    <w:rsid w:val="00285DB0"/>
    <w:rsid w:val="002B5A40"/>
    <w:rsid w:val="002F1BEB"/>
    <w:rsid w:val="00361BB6"/>
    <w:rsid w:val="00372197"/>
    <w:rsid w:val="003A6EF5"/>
    <w:rsid w:val="003B4DBD"/>
    <w:rsid w:val="003F54BC"/>
    <w:rsid w:val="005143D2"/>
    <w:rsid w:val="00523D5B"/>
    <w:rsid w:val="00527D4C"/>
    <w:rsid w:val="00546A78"/>
    <w:rsid w:val="005555A5"/>
    <w:rsid w:val="0055588D"/>
    <w:rsid w:val="00593451"/>
    <w:rsid w:val="005C210A"/>
    <w:rsid w:val="005E311C"/>
    <w:rsid w:val="006249D1"/>
    <w:rsid w:val="0062546D"/>
    <w:rsid w:val="006C4BC2"/>
    <w:rsid w:val="006D0487"/>
    <w:rsid w:val="006F6D08"/>
    <w:rsid w:val="0075407C"/>
    <w:rsid w:val="00775045"/>
    <w:rsid w:val="00780761"/>
    <w:rsid w:val="00796AFB"/>
    <w:rsid w:val="007A2509"/>
    <w:rsid w:val="007D3EB3"/>
    <w:rsid w:val="007D43A2"/>
    <w:rsid w:val="00805292"/>
    <w:rsid w:val="00817FAD"/>
    <w:rsid w:val="00825A6E"/>
    <w:rsid w:val="008C5F97"/>
    <w:rsid w:val="00A60CFC"/>
    <w:rsid w:val="00A61232"/>
    <w:rsid w:val="00BA1E2E"/>
    <w:rsid w:val="00BA22E6"/>
    <w:rsid w:val="00BC45D3"/>
    <w:rsid w:val="00BD4B87"/>
    <w:rsid w:val="00C04DBE"/>
    <w:rsid w:val="00C85EDE"/>
    <w:rsid w:val="00CA10FC"/>
    <w:rsid w:val="00CE2844"/>
    <w:rsid w:val="00D05422"/>
    <w:rsid w:val="00D05C7B"/>
    <w:rsid w:val="00D2295A"/>
    <w:rsid w:val="00D456D7"/>
    <w:rsid w:val="00D77A3C"/>
    <w:rsid w:val="00D87812"/>
    <w:rsid w:val="00D92922"/>
    <w:rsid w:val="00DF3D0E"/>
    <w:rsid w:val="00E14DB9"/>
    <w:rsid w:val="00E42BB2"/>
    <w:rsid w:val="00EA15ED"/>
    <w:rsid w:val="00EF788F"/>
    <w:rsid w:val="00F14E50"/>
    <w:rsid w:val="00F31221"/>
    <w:rsid w:val="00F64819"/>
    <w:rsid w:val="00F73B65"/>
    <w:rsid w:val="00F8053C"/>
    <w:rsid w:val="00F907FC"/>
    <w:rsid w:val="00FA0F1A"/>
    <w:rsid w:val="00FB3E8D"/>
    <w:rsid w:val="00FD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F825"/>
  <w15:chartTrackingRefBased/>
  <w15:docId w15:val="{B9F43CCD-CA05-184D-B705-2F887423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922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2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2922"/>
    <w:rPr>
      <w:kern w:val="0"/>
      <w:sz w:val="22"/>
      <w:szCs w:val="22"/>
      <w14:ligatures w14:val="none"/>
    </w:rPr>
  </w:style>
  <w:style w:type="paragraph" w:styleId="ListeParagraf">
    <w:name w:val="List Paragraph"/>
    <w:basedOn w:val="Normal"/>
    <w:uiPriority w:val="34"/>
    <w:qFormat/>
    <w:rsid w:val="00D92922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55588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5588D"/>
    <w:rPr>
      <w:kern w:val="0"/>
      <w:sz w:val="20"/>
      <w:szCs w:val="20"/>
      <w14:ligatures w14:val="none"/>
    </w:rPr>
  </w:style>
  <w:style w:type="character" w:styleId="DipnotBavurusu">
    <w:name w:val="footnote reference"/>
    <w:basedOn w:val="VarsaylanParagrafYazTipi"/>
    <w:uiPriority w:val="99"/>
    <w:semiHidden/>
    <w:unhideWhenUsed/>
    <w:rsid w:val="0055588D"/>
    <w:rPr>
      <w:vertAlign w:val="superscript"/>
    </w:rPr>
  </w:style>
  <w:style w:type="table" w:styleId="TabloKlavuzu">
    <w:name w:val="Table Grid"/>
    <w:basedOn w:val="NormalTablo"/>
    <w:uiPriority w:val="39"/>
    <w:rsid w:val="00555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F1701F-740C-46E6-BAE6-5F2A3670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6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HURSIT SULEYMAN GOKSU</dc:creator>
  <cp:keywords/>
  <dc:description/>
  <cp:lastModifiedBy>HURSIT SULEYMAN GOKSU</cp:lastModifiedBy>
  <cp:revision>37</cp:revision>
  <dcterms:created xsi:type="dcterms:W3CDTF">2023-07-27T09:53:00Z</dcterms:created>
  <dcterms:modified xsi:type="dcterms:W3CDTF">2023-10-06T17:35:00Z</dcterms:modified>
</cp:coreProperties>
</file>